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435" w:rsidRDefault="00E91435" w:rsidP="00E9143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Ljubljana, 06.03.2019</w:t>
      </w:r>
    </w:p>
    <w:p w:rsidR="00E91435" w:rsidRDefault="00E91435" w:rsidP="00E91435">
      <w:pPr>
        <w:jc w:val="both"/>
        <w:rPr>
          <w:b/>
        </w:rPr>
      </w:pPr>
    </w:p>
    <w:p w:rsidR="00E91435" w:rsidRDefault="00E91435" w:rsidP="00E91435">
      <w:pPr>
        <w:jc w:val="both"/>
        <w:rPr>
          <w:b/>
        </w:rPr>
      </w:pPr>
    </w:p>
    <w:p w:rsidR="00E91435" w:rsidRDefault="00E91435" w:rsidP="00E91435">
      <w:pPr>
        <w:jc w:val="both"/>
        <w:rPr>
          <w:b/>
        </w:rPr>
      </w:pPr>
      <w:r>
        <w:rPr>
          <w:b/>
        </w:rPr>
        <w:t>Sporočilo za javnost</w:t>
      </w:r>
    </w:p>
    <w:p w:rsidR="00E91435" w:rsidRDefault="00E91435" w:rsidP="00E91435">
      <w:pPr>
        <w:jc w:val="both"/>
        <w:rPr>
          <w:b/>
        </w:rPr>
      </w:pPr>
    </w:p>
    <w:p w:rsidR="00E91435" w:rsidRDefault="00E91435" w:rsidP="00E91435">
      <w:pPr>
        <w:jc w:val="both"/>
        <w:rPr>
          <w:b/>
        </w:rPr>
      </w:pPr>
    </w:p>
    <w:p w:rsidR="00E91435" w:rsidRDefault="00E91435" w:rsidP="00E91435">
      <w:pPr>
        <w:jc w:val="both"/>
        <w:rPr>
          <w:b/>
        </w:rPr>
      </w:pPr>
      <w:r>
        <w:rPr>
          <w:b/>
        </w:rPr>
        <w:t>ZAVOD ZA BLAGOVNE REZERVE PODJETJU MINIS NI IZPLAČAL AVANSOV, POSTOPKE JE DOSLEDNO VODIL V SKLADU Z ZAKONODAJO</w:t>
      </w:r>
    </w:p>
    <w:p w:rsidR="00E91435" w:rsidRDefault="00E91435" w:rsidP="00E91435">
      <w:pPr>
        <w:jc w:val="both"/>
      </w:pPr>
    </w:p>
    <w:p w:rsidR="00E91435" w:rsidRDefault="00E91435" w:rsidP="00E91435">
      <w:pPr>
        <w:jc w:val="both"/>
      </w:pPr>
    </w:p>
    <w:p w:rsidR="00E91435" w:rsidRDefault="00E91435" w:rsidP="00E91435">
      <w:pPr>
        <w:jc w:val="both"/>
        <w:rPr>
          <w:b/>
        </w:rPr>
      </w:pPr>
      <w:r>
        <w:rPr>
          <w:b/>
        </w:rPr>
        <w:t xml:space="preserve">Ljubljana, 6. marec 2018 – Zavod RS za blagovne rezerve odločno zavrača navedbe v nekaterih medijih v zvezi z nabavo začasnih zaščitnih tehničnih ovir in sodelovanjem s podjetjem </w:t>
      </w:r>
      <w:proofErr w:type="spellStart"/>
      <w:r>
        <w:rPr>
          <w:b/>
        </w:rPr>
        <w:t>Minis</w:t>
      </w:r>
      <w:proofErr w:type="spellEnd"/>
      <w:r>
        <w:rPr>
          <w:b/>
        </w:rPr>
        <w:t xml:space="preserve"> d.o.o. Zavod je izvedel nabavo tehničnih ovir v skladu s sklepi Vlade RS in v skladu z Zakonom o javnih naročilih. Vsa plačila</w:t>
      </w:r>
      <w:r>
        <w:t xml:space="preserve"> </w:t>
      </w:r>
      <w:r>
        <w:rPr>
          <w:b/>
        </w:rPr>
        <w:t xml:space="preserve">podjetju </w:t>
      </w:r>
      <w:proofErr w:type="spellStart"/>
      <w:r>
        <w:rPr>
          <w:b/>
        </w:rPr>
        <w:t>Minis</w:t>
      </w:r>
      <w:proofErr w:type="spellEnd"/>
      <w:r>
        <w:rPr>
          <w:b/>
        </w:rPr>
        <w:t xml:space="preserve"> so bila</w:t>
      </w:r>
      <w:r>
        <w:t xml:space="preserve"> </w:t>
      </w:r>
      <w:r>
        <w:rPr>
          <w:b/>
        </w:rPr>
        <w:t xml:space="preserve">dosledno izvedena po dobavi materiala. Zavod podjetju </w:t>
      </w:r>
      <w:proofErr w:type="spellStart"/>
      <w:r>
        <w:rPr>
          <w:b/>
        </w:rPr>
        <w:t>Minis</w:t>
      </w:r>
      <w:proofErr w:type="spellEnd"/>
      <w:r>
        <w:rPr>
          <w:b/>
        </w:rPr>
        <w:t xml:space="preserve"> ni plačalo nobenega predplačila.</w:t>
      </w:r>
    </w:p>
    <w:p w:rsidR="00E91435" w:rsidRDefault="00E91435" w:rsidP="00E91435">
      <w:pPr>
        <w:jc w:val="both"/>
      </w:pPr>
    </w:p>
    <w:p w:rsidR="00E91435" w:rsidRDefault="00E91435" w:rsidP="00E91435">
      <w:pPr>
        <w:pStyle w:val="Odstavekseznama"/>
        <w:ind w:left="426"/>
      </w:pPr>
    </w:p>
    <w:p w:rsidR="00E91435" w:rsidRDefault="00E91435" w:rsidP="00E91435">
      <w:pPr>
        <w:jc w:val="both"/>
      </w:pPr>
      <w:r>
        <w:rPr>
          <w:b/>
        </w:rPr>
        <w:t xml:space="preserve">Vlada RS </w:t>
      </w:r>
      <w:r>
        <w:t>je 5. in 13. 11. 2015 ter nato še 17. 2. 2016 za nabavo zaščitno tehničnih ovir (ZTO)</w:t>
      </w:r>
      <w:r>
        <w:rPr>
          <w:b/>
        </w:rPr>
        <w:t xml:space="preserve"> sprejela tri sklepe</w:t>
      </w:r>
      <w:r>
        <w:t xml:space="preserve">, na podlagi katerih je Zavod RS za blagovne rezerve izvajal nabavo žičnate in panelne ograje. Vsi sklepi so še vedno označeni s stopnjo tajnosti </w:t>
      </w:r>
      <w:r>
        <w:rPr>
          <w:i/>
        </w:rPr>
        <w:t>Interno</w:t>
      </w:r>
      <w:r>
        <w:t>.  </w:t>
      </w:r>
    </w:p>
    <w:p w:rsidR="00E91435" w:rsidRDefault="00E91435" w:rsidP="00E91435">
      <w:pPr>
        <w:jc w:val="both"/>
      </w:pPr>
    </w:p>
    <w:p w:rsidR="00E91435" w:rsidRDefault="00E91435" w:rsidP="00E91435">
      <w:pPr>
        <w:jc w:val="both"/>
        <w:rPr>
          <w:i/>
        </w:rPr>
      </w:pPr>
      <w:r>
        <w:t xml:space="preserve">Zavod za blagovne rezerve je </w:t>
      </w:r>
      <w:r>
        <w:rPr>
          <w:b/>
        </w:rPr>
        <w:t>dosledno postopal po Zakonu o javnih naročilih (ZJN-2</w:t>
      </w:r>
      <w:r>
        <w:t xml:space="preserve">). Glede na dejstvo, da je vladno gradivo označeno s stopnjo tajnosti </w:t>
      </w:r>
      <w:r>
        <w:rPr>
          <w:i/>
        </w:rPr>
        <w:t>Interno</w:t>
      </w:r>
      <w:r>
        <w:t xml:space="preserve">, je Zavod zaradi nujnosti, pomembnosti in tajnosti podatkov nabavo ZTO izvedel </w:t>
      </w:r>
      <w:r>
        <w:rPr>
          <w:b/>
        </w:rPr>
        <w:t xml:space="preserve">v skladu s 3. točko prvega odstavka 17. člena ZJN-2. </w:t>
      </w:r>
      <w:r>
        <w:t xml:space="preserve">Ta je določal, da se ZJN ne uporablja med drugim </w:t>
      </w:r>
      <w:r>
        <w:rPr>
          <w:i/>
        </w:rPr>
        <w:t xml:space="preserve">»za javna naročila, s katerimi se razkrivajo podatki, označeni s stopnjo tajnosti, javna naročila, katerih izvedbo morajo v skladu z zakonom spremljati posebni varnostni ukrepi, ali javna naročila, ki so potrebna zaradi ogroženosti bistvenih varnostnih interesov Republike Slovenije«. </w:t>
      </w:r>
    </w:p>
    <w:p w:rsidR="00E91435" w:rsidRDefault="00E91435" w:rsidP="00E91435">
      <w:pPr>
        <w:jc w:val="both"/>
      </w:pPr>
    </w:p>
    <w:p w:rsidR="00E91435" w:rsidRDefault="00E91435" w:rsidP="00E91435">
      <w:pPr>
        <w:jc w:val="both"/>
      </w:pPr>
      <w:r>
        <w:rPr>
          <w:b/>
        </w:rPr>
        <w:t>Tehnične specifikacije</w:t>
      </w:r>
      <w:r>
        <w:t xml:space="preserve"> </w:t>
      </w:r>
      <w:r>
        <w:rPr>
          <w:b/>
        </w:rPr>
        <w:t>za ZTO</w:t>
      </w:r>
      <w:r>
        <w:t xml:space="preserve"> je zavod prejel od Ministrstva za notranje zadeve. Podjetje </w:t>
      </w:r>
      <w:proofErr w:type="spellStart"/>
      <w:r>
        <w:t>Minis</w:t>
      </w:r>
      <w:proofErr w:type="spellEnd"/>
      <w:r>
        <w:t xml:space="preserve"> d.o.o. je bilo povabljeno k oddaji ponudbe na podlagi </w:t>
      </w:r>
      <w:r>
        <w:rPr>
          <w:b/>
        </w:rPr>
        <w:t>predhodnega sodelovanja z Ministrstvom za notranje zadeve</w:t>
      </w:r>
      <w:r>
        <w:t xml:space="preserve"> </w:t>
      </w:r>
      <w:r>
        <w:rPr>
          <w:b/>
        </w:rPr>
        <w:t>pri postavitvi ZTO na meji</w:t>
      </w:r>
      <w:r>
        <w:t xml:space="preserve">. Zaradi varnostnih razmer je bilo potrebno ZTO dobaviti v najkrajšem možnem času. Zato je bil pri izbiri dobaviteljev poleg cene najpomembnejši rok dobave ZTO. </w:t>
      </w:r>
    </w:p>
    <w:p w:rsidR="00E91435" w:rsidRDefault="00E91435" w:rsidP="00E91435">
      <w:pPr>
        <w:jc w:val="both"/>
      </w:pPr>
    </w:p>
    <w:p w:rsidR="00E91435" w:rsidRDefault="00E91435" w:rsidP="00E91435">
      <w:pPr>
        <w:jc w:val="both"/>
      </w:pPr>
      <w:r>
        <w:t xml:space="preserve">Podjetje </w:t>
      </w:r>
      <w:proofErr w:type="spellStart"/>
      <w:r>
        <w:t>Minis</w:t>
      </w:r>
      <w:proofErr w:type="spellEnd"/>
      <w:r>
        <w:t xml:space="preserve"> d.o.o. je bil eden izmed več dobaviteljev ZTO. Po pridobljenih podatkih je podjetje </w:t>
      </w:r>
      <w:r>
        <w:rPr>
          <w:b/>
        </w:rPr>
        <w:t>ob podpisu prve pogodbe z zavodom</w:t>
      </w:r>
      <w:r>
        <w:t xml:space="preserve">, dne 24. 11. 2015 </w:t>
      </w:r>
      <w:r>
        <w:rPr>
          <w:b/>
        </w:rPr>
        <w:t>zaposlovalo 16 ljudi</w:t>
      </w:r>
      <w:r>
        <w:t xml:space="preserve"> in je imelo </w:t>
      </w:r>
      <w:r>
        <w:rPr>
          <w:b/>
        </w:rPr>
        <w:t>poravnane vse evidentirane davke</w:t>
      </w:r>
      <w:r>
        <w:t xml:space="preserve"> </w:t>
      </w:r>
      <w:r>
        <w:rPr>
          <w:b/>
        </w:rPr>
        <w:t>in druge obvezne dajatve</w:t>
      </w:r>
      <w:r>
        <w:t>.</w:t>
      </w:r>
    </w:p>
    <w:p w:rsidR="00E91435" w:rsidRPr="00E91435" w:rsidRDefault="00E91435" w:rsidP="00E91435">
      <w:pPr>
        <w:ind w:left="426"/>
        <w:jc w:val="both"/>
        <w:rPr>
          <w:rFonts w:eastAsia="Calibri"/>
        </w:rPr>
      </w:pPr>
    </w:p>
    <w:p w:rsidR="00E91435" w:rsidRDefault="00E91435" w:rsidP="00E91435">
      <w:pPr>
        <w:jc w:val="both"/>
      </w:pPr>
      <w:r>
        <w:t xml:space="preserve">Zavod za blagovne rezerve odločno poudarja, da podjetju </w:t>
      </w:r>
      <w:proofErr w:type="spellStart"/>
      <w:r>
        <w:t>Minis</w:t>
      </w:r>
      <w:proofErr w:type="spellEnd"/>
      <w:r>
        <w:t xml:space="preserve"> d.o.o </w:t>
      </w:r>
      <w:r>
        <w:rPr>
          <w:b/>
        </w:rPr>
        <w:t>NI izplačal nobenega predplačila oziroma avansa</w:t>
      </w:r>
      <w:r>
        <w:t xml:space="preserve">. </w:t>
      </w:r>
      <w:r>
        <w:rPr>
          <w:b/>
        </w:rPr>
        <w:t>VSA plačila</w:t>
      </w:r>
      <w:bookmarkStart w:id="0" w:name="_GoBack"/>
      <w:bookmarkEnd w:id="0"/>
      <w:r>
        <w:t xml:space="preserve"> podjetju </w:t>
      </w:r>
      <w:proofErr w:type="spellStart"/>
      <w:r>
        <w:t>Minis</w:t>
      </w:r>
      <w:proofErr w:type="spellEnd"/>
      <w:r>
        <w:t xml:space="preserve"> so bila </w:t>
      </w:r>
      <w:r>
        <w:rPr>
          <w:b/>
        </w:rPr>
        <w:t>dosledno izvedena po dobavi materiala</w:t>
      </w:r>
      <w:r>
        <w:t xml:space="preserve"> v skladu s pogodbami. Podjetje </w:t>
      </w:r>
      <w:proofErr w:type="spellStart"/>
      <w:r>
        <w:t>Minis</w:t>
      </w:r>
      <w:proofErr w:type="spellEnd"/>
      <w:r>
        <w:t xml:space="preserve"> je dobavljalo ZTO v </w:t>
      </w:r>
      <w:proofErr w:type="spellStart"/>
      <w:r>
        <w:t>večih</w:t>
      </w:r>
      <w:proofErr w:type="spellEnd"/>
      <w:r>
        <w:t xml:space="preserve"> intervalih, čemur so sledila tudi plačila za posamezno dobavo. </w:t>
      </w:r>
    </w:p>
    <w:p w:rsidR="00E91435" w:rsidRDefault="00E91435" w:rsidP="00E91435">
      <w:pPr>
        <w:jc w:val="both"/>
      </w:pPr>
    </w:p>
    <w:p w:rsidR="00E91435" w:rsidRDefault="00E91435" w:rsidP="00E91435">
      <w:pPr>
        <w:jc w:val="both"/>
      </w:pPr>
      <w:r>
        <w:t xml:space="preserve">V pogodbi za nabavo žičnate ograje je bila zgolj </w:t>
      </w:r>
      <w:r>
        <w:rPr>
          <w:b/>
        </w:rPr>
        <w:t>predvidena možnost predplačila</w:t>
      </w:r>
      <w:r>
        <w:t xml:space="preserve">, vendar ob izrecnem predpogoju, da podjetje  predloži bančno garancijo za vračilo avansa. Višina bančne garancije bi morala biti enaka celotni višini avansa. </w:t>
      </w:r>
      <w:r>
        <w:rPr>
          <w:b/>
        </w:rPr>
        <w:t>Ta možnost</w:t>
      </w:r>
      <w:r>
        <w:t xml:space="preserve"> </w:t>
      </w:r>
      <w:r>
        <w:rPr>
          <w:b/>
        </w:rPr>
        <w:t>ni bila nikoli uporabljena</w:t>
      </w:r>
      <w:r>
        <w:t xml:space="preserve">. </w:t>
      </w:r>
      <w:r>
        <w:lastRenderedPageBreak/>
        <w:t xml:space="preserve">Zavod ni neposredni niti posredni proračunski porabnik, zato kakršnokoli dovoljenje Ministrstva za finance za morebitno predplačilo, ki se omenja v medijih, ni potrebno. </w:t>
      </w:r>
    </w:p>
    <w:p w:rsidR="00E91435" w:rsidRDefault="00E91435" w:rsidP="00E91435">
      <w:pPr>
        <w:ind w:left="426"/>
        <w:jc w:val="both"/>
      </w:pPr>
    </w:p>
    <w:p w:rsidR="00E91435" w:rsidRDefault="00E91435" w:rsidP="00E91435">
      <w:pPr>
        <w:jc w:val="both"/>
      </w:pPr>
      <w:r>
        <w:t xml:space="preserve">Dne 24. 11. 2015 je Zavod za blagovne rezerve sklenil prvi dve pogodbi s podjetjem </w:t>
      </w:r>
      <w:proofErr w:type="spellStart"/>
      <w:r>
        <w:t>Minis</w:t>
      </w:r>
      <w:proofErr w:type="spellEnd"/>
      <w:r>
        <w:t>, in sicer za i) nabavo žičnate ograje v znesku 1.008.000 EUR (brez DDV) in ii) za nabavo 20 km panelne ograje v znesku 1.976.000 EUR (brez DDV).</w:t>
      </w:r>
    </w:p>
    <w:p w:rsidR="00E91435" w:rsidRDefault="00E91435" w:rsidP="00E91435">
      <w:pPr>
        <w:jc w:val="both"/>
      </w:pPr>
    </w:p>
    <w:p w:rsidR="00E91435" w:rsidRDefault="00E91435" w:rsidP="00E91435">
      <w:pPr>
        <w:jc w:val="both"/>
      </w:pPr>
      <w:r>
        <w:rPr>
          <w:b/>
        </w:rPr>
        <w:t xml:space="preserve">Prvo izplačilo podjetju </w:t>
      </w:r>
      <w:proofErr w:type="spellStart"/>
      <w:r>
        <w:rPr>
          <w:b/>
        </w:rPr>
        <w:t>Minis</w:t>
      </w:r>
      <w:proofErr w:type="spellEnd"/>
      <w:r>
        <w:t xml:space="preserve"> za </w:t>
      </w:r>
      <w:r>
        <w:rPr>
          <w:b/>
        </w:rPr>
        <w:t>žičnato ograjo</w:t>
      </w:r>
      <w:r>
        <w:t xml:space="preserve"> je zavod izvedel dne </w:t>
      </w:r>
      <w:r>
        <w:rPr>
          <w:b/>
        </w:rPr>
        <w:t>11. 12. 2015, potem ko je podjetje že dobavilo žičnato ograjo</w:t>
      </w:r>
      <w:r>
        <w:t>. Temu so sledile nadaljnje dobave tudi še v letu 2016, čemur so sledila naknadna izplačila, vendar vedno izključno po opravljeni dobavi.</w:t>
      </w:r>
    </w:p>
    <w:p w:rsidR="00E91435" w:rsidRDefault="00E91435" w:rsidP="00E91435">
      <w:pPr>
        <w:jc w:val="both"/>
      </w:pPr>
    </w:p>
    <w:p w:rsidR="00E91435" w:rsidRDefault="00E91435" w:rsidP="00E91435">
      <w:pPr>
        <w:jc w:val="both"/>
      </w:pPr>
      <w:r>
        <w:rPr>
          <w:b/>
        </w:rPr>
        <w:t>Izplačilo v višini 452.010 EUR</w:t>
      </w:r>
      <w:r>
        <w:t xml:space="preserve">, ki je bilo izvedeno </w:t>
      </w:r>
      <w:r>
        <w:rPr>
          <w:b/>
        </w:rPr>
        <w:t>dne 25. 11. 2015</w:t>
      </w:r>
      <w:r>
        <w:t xml:space="preserve"> in ga mediji navajajo kot domnevno predplačilo za žičnato ograjo, pa je bilo </w:t>
      </w:r>
      <w:r>
        <w:rPr>
          <w:b/>
        </w:rPr>
        <w:t>dejansko plačilo po drugi pogodbi za dobavo panelne ograje</w:t>
      </w:r>
      <w:r>
        <w:t xml:space="preserve">. Prva dobava 5 km panelnih ograj je bila izvedena dne 25. 11. 2015. Zgolj za ta del dobave je zavod  izvedel sorazmerni del plačila v skladu s pogodbo, in sicer šele po dobavljeni panelni ograji. </w:t>
      </w:r>
    </w:p>
    <w:p w:rsidR="00E91435" w:rsidRDefault="00E91435" w:rsidP="00E91435">
      <w:pPr>
        <w:jc w:val="both"/>
      </w:pPr>
    </w:p>
    <w:p w:rsidR="00E91435" w:rsidRDefault="00E91435" w:rsidP="00E91435">
      <w:pPr>
        <w:jc w:val="both"/>
      </w:pPr>
      <w:r>
        <w:t xml:space="preserve">Zavod se je odločil zaščititi dokumente za izvedbo nabave ZTO s stopnjo zaupnosti </w:t>
      </w:r>
      <w:r>
        <w:rPr>
          <w:i/>
        </w:rPr>
        <w:t>Interno</w:t>
      </w:r>
      <w:r>
        <w:t xml:space="preserve">, ker bi v nasprotnem primeru njihovo razkritje lahko ogrozilo uresničitev ciljev Vlade RS za učinkovito regulacijo </w:t>
      </w:r>
      <w:proofErr w:type="spellStart"/>
      <w:r>
        <w:t>migrantskih</w:t>
      </w:r>
      <w:proofErr w:type="spellEnd"/>
      <w:r>
        <w:t xml:space="preserve"> tokov na državni meji. Vse ostale pogodbe za nabavo ZTO, ki niso bile predmet zahteve za dostop do informacij javnega značaja s strani prosilca  </w:t>
      </w:r>
      <w:proofErr w:type="spellStart"/>
      <w:r>
        <w:t>Transparency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>, so še vedno označene s stopnjo tajnosti</w:t>
      </w:r>
      <w:r>
        <w:rPr>
          <w:i/>
        </w:rPr>
        <w:t xml:space="preserve"> Interno</w:t>
      </w:r>
      <w:r>
        <w:t xml:space="preserve">. </w:t>
      </w:r>
    </w:p>
    <w:p w:rsidR="00E91435" w:rsidRDefault="00E91435" w:rsidP="00E91435">
      <w:pPr>
        <w:jc w:val="both"/>
      </w:pPr>
    </w:p>
    <w:p w:rsidR="00E91435" w:rsidRDefault="00E91435" w:rsidP="00E91435">
      <w:pPr>
        <w:jc w:val="both"/>
      </w:pPr>
      <w:r>
        <w:t xml:space="preserve">Direktor Zavoda za blagovne rezerve Anton Zakrajšek z domnevno ovadbo ni seznanjen, zato je ne more komentirati. Zavod ob tem poudarja, da so v preteklosti v zvezi z nabavo ZTO na zavodu že potekale policijske preiskave. Dosedanje preiskave so pokazale, da so bili izvedeni postopki skladni z veljavno zakonodajo in pri tem ni bilo ugotovljenih nepravilnosti. </w:t>
      </w:r>
    </w:p>
    <w:p w:rsidR="00E91435" w:rsidRDefault="00E91435" w:rsidP="00E91435">
      <w:pPr>
        <w:jc w:val="both"/>
      </w:pPr>
    </w:p>
    <w:p w:rsidR="00E91435" w:rsidRDefault="00E91435" w:rsidP="00E91435">
      <w:pPr>
        <w:jc w:val="both"/>
      </w:pPr>
    </w:p>
    <w:p w:rsidR="00E91435" w:rsidRDefault="00E91435" w:rsidP="00E91435">
      <w:pPr>
        <w:jc w:val="both"/>
        <w:rPr>
          <w:rFonts w:ascii="Arial" w:hAnsi="Arial" w:cs="Arial"/>
        </w:rPr>
      </w:pPr>
    </w:p>
    <w:p w:rsidR="000F039C" w:rsidRPr="00E91435" w:rsidRDefault="000F039C" w:rsidP="00E91435"/>
    <w:sectPr w:rsidR="000F039C" w:rsidRPr="00E91435" w:rsidSect="00001218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58A" w:rsidRDefault="0074358A">
      <w:r>
        <w:separator/>
      </w:r>
    </w:p>
  </w:endnote>
  <w:endnote w:type="continuationSeparator" w:id="0">
    <w:p w:rsidR="0074358A" w:rsidRDefault="0074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66" w:rsidRPr="00001218" w:rsidRDefault="00370866" w:rsidP="00001218">
    <w:pPr>
      <w:pStyle w:val="Noga"/>
      <w:pBdr>
        <w:top w:val="single" w:sz="4" w:space="1" w:color="auto"/>
      </w:pBdr>
      <w:rPr>
        <w:rFonts w:cs="Arial"/>
        <w:sz w:val="20"/>
        <w:szCs w:val="20"/>
      </w:rPr>
    </w:pPr>
    <w:r w:rsidRPr="00001218">
      <w:rPr>
        <w:rStyle w:val="tevilkastrani"/>
        <w:sz w:val="20"/>
        <w:szCs w:val="20"/>
      </w:rPr>
      <w:tab/>
    </w:r>
    <w:r w:rsidRPr="00001218">
      <w:rPr>
        <w:rStyle w:val="tevilkastrani"/>
        <w:sz w:val="20"/>
        <w:szCs w:val="20"/>
      </w:rPr>
      <w:tab/>
    </w:r>
    <w:r w:rsidRPr="00001218">
      <w:rPr>
        <w:rStyle w:val="tevilkastrani"/>
        <w:sz w:val="20"/>
        <w:szCs w:val="20"/>
      </w:rPr>
      <w:fldChar w:fldCharType="begin"/>
    </w:r>
    <w:r w:rsidRPr="00001218">
      <w:rPr>
        <w:rStyle w:val="tevilkastrani"/>
        <w:sz w:val="20"/>
        <w:szCs w:val="20"/>
      </w:rPr>
      <w:instrText xml:space="preserve"> PAGE </w:instrText>
    </w:r>
    <w:r w:rsidRPr="00001218">
      <w:rPr>
        <w:rStyle w:val="tevilkastrani"/>
        <w:sz w:val="20"/>
        <w:szCs w:val="20"/>
      </w:rPr>
      <w:fldChar w:fldCharType="separate"/>
    </w:r>
    <w:r w:rsidR="000517C0">
      <w:rPr>
        <w:rStyle w:val="tevilkastrani"/>
        <w:noProof/>
        <w:sz w:val="20"/>
        <w:szCs w:val="20"/>
      </w:rPr>
      <w:t>2</w:t>
    </w:r>
    <w:r w:rsidRPr="00001218">
      <w:rPr>
        <w:rStyle w:val="tevilkastrani"/>
        <w:sz w:val="20"/>
        <w:szCs w:val="20"/>
      </w:rPr>
      <w:fldChar w:fldCharType="end"/>
    </w:r>
    <w:r w:rsidRPr="00001218">
      <w:rPr>
        <w:rStyle w:val="tevilkastrani"/>
        <w:sz w:val="20"/>
        <w:szCs w:val="20"/>
      </w:rPr>
      <w:t xml:space="preserve"> / </w:t>
    </w:r>
    <w:r w:rsidRPr="00001218">
      <w:rPr>
        <w:rStyle w:val="tevilkastrani"/>
        <w:sz w:val="20"/>
        <w:szCs w:val="20"/>
      </w:rPr>
      <w:fldChar w:fldCharType="begin"/>
    </w:r>
    <w:r w:rsidRPr="00001218">
      <w:rPr>
        <w:rStyle w:val="tevilkastrani"/>
        <w:sz w:val="20"/>
        <w:szCs w:val="20"/>
      </w:rPr>
      <w:instrText xml:space="preserve"> NUMPAGES </w:instrText>
    </w:r>
    <w:r w:rsidRPr="00001218">
      <w:rPr>
        <w:rStyle w:val="tevilkastrani"/>
        <w:sz w:val="20"/>
        <w:szCs w:val="20"/>
      </w:rPr>
      <w:fldChar w:fldCharType="separate"/>
    </w:r>
    <w:r w:rsidR="000517C0">
      <w:rPr>
        <w:rStyle w:val="tevilkastrani"/>
        <w:noProof/>
        <w:sz w:val="20"/>
        <w:szCs w:val="20"/>
      </w:rPr>
      <w:t>2</w:t>
    </w:r>
    <w:r w:rsidRPr="00001218">
      <w:rPr>
        <w:rStyle w:val="tevilkastran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535"/>
      <w:gridCol w:w="4497"/>
    </w:tblGrid>
    <w:tr w:rsidR="00370866" w:rsidRPr="00A1445A" w:rsidTr="00A1445A">
      <w:tc>
        <w:tcPr>
          <w:tcW w:w="4605" w:type="dxa"/>
          <w:shd w:val="clear" w:color="auto" w:fill="auto"/>
        </w:tcPr>
        <w:p w:rsidR="005A785E" w:rsidRPr="005A785E" w:rsidRDefault="000517C0" w:rsidP="002618E0">
          <w:pPr>
            <w:rPr>
              <w:noProof/>
            </w:rPr>
          </w:pPr>
          <w:r w:rsidRPr="00751EA5">
            <w:rPr>
              <w:noProof/>
            </w:rPr>
            <w:drawing>
              <wp:inline distT="0" distB="0" distL="0" distR="0">
                <wp:extent cx="1028700" cy="485775"/>
                <wp:effectExtent l="0" t="0" r="0" b="0"/>
                <wp:docPr id="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shd w:val="clear" w:color="auto" w:fill="auto"/>
        </w:tcPr>
        <w:p w:rsidR="00370866" w:rsidRPr="00A1445A" w:rsidRDefault="00370866" w:rsidP="00A1445A">
          <w:pPr>
            <w:jc w:val="right"/>
            <w:rPr>
              <w:rFonts w:ascii="Arial" w:hAnsi="Arial" w:cs="Arial"/>
              <w:color w:val="000000"/>
              <w:sz w:val="22"/>
              <w:szCs w:val="22"/>
            </w:rPr>
          </w:pPr>
          <w:r w:rsidRPr="00A1445A">
            <w:rPr>
              <w:rStyle w:val="tevilkastrani"/>
              <w:rFonts w:ascii="Arial" w:hAnsi="Arial" w:cs="Arial"/>
              <w:sz w:val="22"/>
              <w:szCs w:val="22"/>
            </w:rPr>
            <w:fldChar w:fldCharType="begin"/>
          </w:r>
          <w:r w:rsidRPr="00A1445A">
            <w:rPr>
              <w:rStyle w:val="tevilkastrani"/>
              <w:rFonts w:ascii="Arial" w:hAnsi="Arial" w:cs="Arial"/>
              <w:sz w:val="22"/>
              <w:szCs w:val="22"/>
            </w:rPr>
            <w:instrText xml:space="preserve"> PAGE </w:instrText>
          </w:r>
          <w:r w:rsidRPr="00A1445A">
            <w:rPr>
              <w:rStyle w:val="tevilkastrani"/>
              <w:rFonts w:ascii="Arial" w:hAnsi="Arial" w:cs="Arial"/>
              <w:sz w:val="22"/>
              <w:szCs w:val="22"/>
            </w:rPr>
            <w:fldChar w:fldCharType="separate"/>
          </w:r>
          <w:r w:rsidR="000517C0">
            <w:rPr>
              <w:rStyle w:val="tevilkastrani"/>
              <w:rFonts w:ascii="Arial" w:hAnsi="Arial" w:cs="Arial"/>
              <w:noProof/>
              <w:sz w:val="22"/>
              <w:szCs w:val="22"/>
            </w:rPr>
            <w:t>1</w:t>
          </w:r>
          <w:r w:rsidRPr="00A1445A">
            <w:rPr>
              <w:rStyle w:val="tevilkastrani"/>
              <w:rFonts w:ascii="Arial" w:hAnsi="Arial" w:cs="Arial"/>
              <w:sz w:val="22"/>
              <w:szCs w:val="22"/>
            </w:rPr>
            <w:fldChar w:fldCharType="end"/>
          </w:r>
          <w:r w:rsidRPr="00A1445A">
            <w:rPr>
              <w:rStyle w:val="tevilkastrani"/>
              <w:rFonts w:ascii="Arial" w:hAnsi="Arial" w:cs="Arial"/>
              <w:sz w:val="22"/>
              <w:szCs w:val="22"/>
            </w:rPr>
            <w:t xml:space="preserve"> / </w:t>
          </w:r>
          <w:r w:rsidRPr="00A1445A">
            <w:rPr>
              <w:rStyle w:val="tevilkastrani"/>
              <w:rFonts w:ascii="Arial" w:hAnsi="Arial" w:cs="Arial"/>
              <w:sz w:val="22"/>
              <w:szCs w:val="22"/>
            </w:rPr>
            <w:fldChar w:fldCharType="begin"/>
          </w:r>
          <w:r w:rsidRPr="00A1445A">
            <w:rPr>
              <w:rStyle w:val="tevilkastrani"/>
              <w:rFonts w:ascii="Arial" w:hAnsi="Arial" w:cs="Arial"/>
              <w:sz w:val="22"/>
              <w:szCs w:val="22"/>
            </w:rPr>
            <w:instrText xml:space="preserve"> NUMPAGES </w:instrText>
          </w:r>
          <w:r w:rsidRPr="00A1445A">
            <w:rPr>
              <w:rStyle w:val="tevilkastrani"/>
              <w:rFonts w:ascii="Arial" w:hAnsi="Arial" w:cs="Arial"/>
              <w:sz w:val="22"/>
              <w:szCs w:val="22"/>
            </w:rPr>
            <w:fldChar w:fldCharType="separate"/>
          </w:r>
          <w:r w:rsidR="000517C0">
            <w:rPr>
              <w:rStyle w:val="tevilkastrani"/>
              <w:rFonts w:ascii="Arial" w:hAnsi="Arial" w:cs="Arial"/>
              <w:noProof/>
              <w:sz w:val="22"/>
              <w:szCs w:val="22"/>
            </w:rPr>
            <w:t>2</w:t>
          </w:r>
          <w:r w:rsidRPr="00A1445A">
            <w:rPr>
              <w:rStyle w:val="tevilkastrani"/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:rsidR="00370866" w:rsidRPr="00FC6CF0" w:rsidRDefault="00370866">
    <w:pPr>
      <w:pStyle w:val="Nog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58A" w:rsidRDefault="0074358A">
      <w:r>
        <w:separator/>
      </w:r>
    </w:p>
  </w:footnote>
  <w:footnote w:type="continuationSeparator" w:id="0">
    <w:p w:rsidR="0074358A" w:rsidRDefault="00743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8" w:type="dxa"/>
      <w:tblLayout w:type="fixed"/>
      <w:tblLook w:val="01E0" w:firstRow="1" w:lastRow="1" w:firstColumn="1" w:lastColumn="1" w:noHBand="0" w:noVBand="0"/>
    </w:tblPr>
    <w:tblGrid>
      <w:gridCol w:w="4039"/>
      <w:gridCol w:w="1418"/>
      <w:gridCol w:w="3775"/>
    </w:tblGrid>
    <w:tr w:rsidR="00370866" w:rsidRPr="00A1445A" w:rsidTr="00A04B00">
      <w:tc>
        <w:tcPr>
          <w:tcW w:w="4039" w:type="dxa"/>
          <w:tcBorders>
            <w:bottom w:val="single" w:sz="4" w:space="0" w:color="auto"/>
          </w:tcBorders>
          <w:shd w:val="clear" w:color="auto" w:fill="auto"/>
        </w:tcPr>
        <w:p w:rsidR="00A04B00" w:rsidRPr="00A04B00" w:rsidRDefault="00A04B00" w:rsidP="00A04B00">
          <w:pPr>
            <w:ind w:right="6"/>
            <w:rPr>
              <w:rFonts w:ascii="Arial" w:hAnsi="Arial" w:cs="Arial"/>
              <w:b/>
              <w:color w:val="000000"/>
              <w:sz w:val="22"/>
              <w:szCs w:val="22"/>
            </w:rPr>
          </w:pPr>
          <w:r w:rsidRPr="00A04B00">
            <w:rPr>
              <w:rFonts w:ascii="Arial" w:hAnsi="Arial" w:cs="Arial"/>
              <w:b/>
              <w:color w:val="000000"/>
              <w:sz w:val="22"/>
              <w:szCs w:val="22"/>
            </w:rPr>
            <w:t>Zavod Republike Slovenije</w:t>
          </w:r>
        </w:p>
        <w:p w:rsidR="00A04B00" w:rsidRPr="00A04B00" w:rsidRDefault="00A04B00" w:rsidP="00A04B00">
          <w:pPr>
            <w:ind w:right="6"/>
            <w:rPr>
              <w:rFonts w:ascii="Arial" w:hAnsi="Arial" w:cs="Arial"/>
              <w:b/>
              <w:color w:val="000000"/>
              <w:sz w:val="22"/>
              <w:szCs w:val="22"/>
            </w:rPr>
          </w:pPr>
          <w:r w:rsidRPr="00A04B00">
            <w:rPr>
              <w:rFonts w:ascii="Arial" w:hAnsi="Arial" w:cs="Arial"/>
              <w:b/>
              <w:color w:val="000000"/>
              <w:sz w:val="22"/>
              <w:szCs w:val="22"/>
            </w:rPr>
            <w:t>za blagovne rezerve</w:t>
          </w:r>
        </w:p>
        <w:p w:rsidR="00C0552D" w:rsidRPr="00A04B00" w:rsidRDefault="00C0552D" w:rsidP="00A04B00">
          <w:pPr>
            <w:ind w:right="6"/>
            <w:rPr>
              <w:rFonts w:ascii="Arial" w:hAnsi="Arial" w:cs="Arial"/>
              <w:color w:val="000000"/>
              <w:spacing w:val="-2"/>
              <w:sz w:val="22"/>
              <w:szCs w:val="22"/>
            </w:rPr>
          </w:pPr>
        </w:p>
        <w:p w:rsidR="00370866" w:rsidRPr="00C0552D" w:rsidRDefault="00370866" w:rsidP="00A1445A">
          <w:pPr>
            <w:ind w:right="6"/>
            <w:jc w:val="both"/>
            <w:rPr>
              <w:rFonts w:ascii="Arial" w:hAnsi="Arial" w:cs="Arial"/>
              <w:color w:val="000000"/>
              <w:spacing w:val="-2"/>
              <w:sz w:val="22"/>
              <w:szCs w:val="22"/>
            </w:rPr>
          </w:pPr>
          <w:r w:rsidRPr="00C0552D">
            <w:rPr>
              <w:rFonts w:ascii="Arial" w:hAnsi="Arial" w:cs="Arial"/>
              <w:color w:val="000000"/>
              <w:spacing w:val="-2"/>
              <w:sz w:val="22"/>
              <w:szCs w:val="22"/>
            </w:rPr>
            <w:t>Dunajska cesta 106</w:t>
          </w:r>
          <w:r w:rsidR="00C0552D" w:rsidRPr="00C0552D">
            <w:rPr>
              <w:rFonts w:ascii="Arial" w:hAnsi="Arial" w:cs="Arial"/>
              <w:color w:val="000000"/>
              <w:spacing w:val="-2"/>
              <w:sz w:val="22"/>
              <w:szCs w:val="22"/>
            </w:rPr>
            <w:t>, SI-1000 Ljubljana</w:t>
          </w:r>
        </w:p>
        <w:p w:rsidR="00370866" w:rsidRPr="00C0552D" w:rsidRDefault="00C0552D" w:rsidP="00A1445A">
          <w:pPr>
            <w:jc w:val="both"/>
            <w:rPr>
              <w:rFonts w:ascii="Arial" w:hAnsi="Arial" w:cs="Arial"/>
              <w:color w:val="000000"/>
              <w:spacing w:val="-2"/>
              <w:sz w:val="20"/>
              <w:szCs w:val="20"/>
            </w:rPr>
          </w:pPr>
          <w:r w:rsidRPr="00C0552D">
            <w:rPr>
              <w:rFonts w:ascii="Arial" w:hAnsi="Arial" w:cs="Arial"/>
              <w:color w:val="000000"/>
              <w:spacing w:val="-2"/>
              <w:sz w:val="20"/>
              <w:szCs w:val="20"/>
            </w:rPr>
            <w:t>Slovenija</w:t>
          </w: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auto"/>
        </w:tcPr>
        <w:p w:rsidR="00370866" w:rsidRPr="00A1445A" w:rsidRDefault="000517C0" w:rsidP="00A1445A">
          <w:pPr>
            <w:jc w:val="center"/>
            <w:rPr>
              <w:rFonts w:ascii="Arial" w:hAnsi="Arial" w:cs="Arial"/>
              <w:color w:val="000000"/>
            </w:rPr>
          </w:pPr>
          <w:r w:rsidRPr="00A1445A"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619125" cy="714375"/>
                <wp:effectExtent l="0" t="0" r="0" b="0"/>
                <wp:docPr id="1" name="Slika 1" descr="ZRSB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RSB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04B00" w:rsidRDefault="00A04B00" w:rsidP="00A04B00">
          <w:pPr>
            <w:pStyle w:val="Noga"/>
            <w:tabs>
              <w:tab w:val="clear" w:pos="4536"/>
              <w:tab w:val="clear" w:pos="9072"/>
              <w:tab w:val="left" w:pos="1309"/>
            </w:tabs>
            <w:rPr>
              <w:rFonts w:ascii="Arial" w:hAnsi="Arial" w:cs="Arial"/>
              <w:color w:val="000000"/>
              <w:spacing w:val="-8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ab/>
          </w:r>
          <w:r w:rsidR="00370866" w:rsidRPr="00A1445A">
            <w:rPr>
              <w:rFonts w:ascii="Arial" w:hAnsi="Arial" w:cs="Arial"/>
              <w:color w:val="000000"/>
              <w:sz w:val="20"/>
              <w:szCs w:val="20"/>
            </w:rPr>
            <w:t>T:</w:t>
          </w:r>
          <w:r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  <w:r w:rsidR="00370866" w:rsidRPr="00A1445A">
            <w:rPr>
              <w:rFonts w:ascii="Arial" w:hAnsi="Arial" w:cs="Arial"/>
              <w:color w:val="000000"/>
              <w:spacing w:val="-8"/>
              <w:sz w:val="20"/>
              <w:szCs w:val="20"/>
            </w:rPr>
            <w:t>+386 (0) 1 589 73 00</w:t>
          </w:r>
        </w:p>
        <w:p w:rsidR="00370866" w:rsidRPr="00A1445A" w:rsidRDefault="00A04B00" w:rsidP="00A04B00">
          <w:pPr>
            <w:pStyle w:val="Noga"/>
            <w:tabs>
              <w:tab w:val="clear" w:pos="4536"/>
              <w:tab w:val="clear" w:pos="9072"/>
              <w:tab w:val="left" w:pos="1309"/>
            </w:tabs>
            <w:rPr>
              <w:rFonts w:ascii="Arial" w:hAnsi="Arial" w:cs="Arial"/>
              <w:color w:val="000000"/>
              <w:spacing w:val="-8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ab/>
          </w:r>
          <w:r w:rsidR="00370866" w:rsidRPr="00A1445A">
            <w:rPr>
              <w:rFonts w:ascii="Arial" w:hAnsi="Arial" w:cs="Arial"/>
              <w:color w:val="000000"/>
              <w:sz w:val="20"/>
              <w:szCs w:val="20"/>
            </w:rPr>
            <w:t>F:</w:t>
          </w:r>
          <w:r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  <w:r w:rsidR="00370866" w:rsidRPr="00A1445A">
            <w:rPr>
              <w:rFonts w:ascii="Arial" w:hAnsi="Arial" w:cs="Arial"/>
              <w:color w:val="000000"/>
              <w:spacing w:val="-8"/>
              <w:sz w:val="20"/>
              <w:szCs w:val="20"/>
            </w:rPr>
            <w:t>+386 (0) 1 589 73 47</w:t>
          </w:r>
        </w:p>
        <w:p w:rsidR="00370866" w:rsidRPr="00A1445A" w:rsidRDefault="00A04B00" w:rsidP="00A04B00">
          <w:pPr>
            <w:pStyle w:val="Noga"/>
            <w:tabs>
              <w:tab w:val="clear" w:pos="4536"/>
              <w:tab w:val="clear" w:pos="9072"/>
              <w:tab w:val="left" w:pos="1309"/>
            </w:tabs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ab/>
          </w:r>
          <w:r w:rsidR="00370866" w:rsidRPr="00A1445A">
            <w:rPr>
              <w:rFonts w:ascii="Arial" w:hAnsi="Arial" w:cs="Arial"/>
              <w:color w:val="000000"/>
              <w:sz w:val="20"/>
              <w:szCs w:val="20"/>
            </w:rPr>
            <w:t>E:</w:t>
          </w:r>
          <w:r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  <w:hyperlink r:id="rId2" w:history="1">
            <w:r w:rsidR="00370866" w:rsidRPr="00A1445A">
              <w:rPr>
                <w:rStyle w:val="Hiperpovezava"/>
                <w:rFonts w:ascii="Arial" w:hAnsi="Arial" w:cs="Arial"/>
                <w:sz w:val="20"/>
                <w:szCs w:val="20"/>
              </w:rPr>
              <w:t>info@zrsbr.si</w:t>
            </w:r>
          </w:hyperlink>
        </w:p>
        <w:p w:rsidR="00370866" w:rsidRPr="00A1445A" w:rsidRDefault="00A04B00" w:rsidP="00A04B00">
          <w:pPr>
            <w:tabs>
              <w:tab w:val="left" w:pos="1309"/>
            </w:tabs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ab/>
          </w:r>
          <w:r w:rsidR="00C0552D" w:rsidRPr="00A1445A">
            <w:rPr>
              <w:rFonts w:ascii="Arial" w:hAnsi="Arial" w:cs="Arial"/>
              <w:color w:val="000000"/>
              <w:sz w:val="20"/>
              <w:szCs w:val="20"/>
            </w:rPr>
            <w:t>H:</w:t>
          </w:r>
          <w:r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  <w:hyperlink r:id="rId3" w:history="1">
            <w:r w:rsidR="00C0552D" w:rsidRPr="00A1445A">
              <w:rPr>
                <w:rStyle w:val="Hiperpovezava"/>
                <w:rFonts w:ascii="Arial" w:hAnsi="Arial" w:cs="Arial"/>
                <w:sz w:val="20"/>
                <w:szCs w:val="20"/>
              </w:rPr>
              <w:t>www.zrsbr.si</w:t>
            </w:r>
          </w:hyperlink>
        </w:p>
      </w:tc>
    </w:tr>
    <w:tr w:rsidR="00C0552D" w:rsidRPr="00A1445A" w:rsidTr="00A04B00">
      <w:tc>
        <w:tcPr>
          <w:tcW w:w="4039" w:type="dxa"/>
          <w:tcBorders>
            <w:top w:val="single" w:sz="4" w:space="0" w:color="auto"/>
          </w:tcBorders>
          <w:shd w:val="clear" w:color="auto" w:fill="auto"/>
        </w:tcPr>
        <w:p w:rsidR="00C0552D" w:rsidRPr="00A1445A" w:rsidRDefault="00C0552D" w:rsidP="00A1445A">
          <w:pPr>
            <w:ind w:right="6"/>
            <w:jc w:val="both"/>
            <w:rPr>
              <w:rFonts w:ascii="Arial" w:hAnsi="Arial" w:cs="Arial"/>
              <w:b/>
              <w:color w:val="000000"/>
            </w:rPr>
          </w:pPr>
        </w:p>
      </w:tc>
      <w:tc>
        <w:tcPr>
          <w:tcW w:w="1418" w:type="dxa"/>
          <w:tcBorders>
            <w:top w:val="single" w:sz="4" w:space="0" w:color="auto"/>
          </w:tcBorders>
          <w:shd w:val="clear" w:color="auto" w:fill="auto"/>
        </w:tcPr>
        <w:p w:rsidR="00C0552D" w:rsidRPr="00A1445A" w:rsidRDefault="00C0552D" w:rsidP="00C0552D">
          <w:pPr>
            <w:rPr>
              <w:rFonts w:ascii="Arial" w:hAnsi="Arial" w:cs="Arial"/>
              <w:color w:val="000000"/>
            </w:rPr>
          </w:pPr>
        </w:p>
      </w:tc>
      <w:tc>
        <w:tcPr>
          <w:tcW w:w="3775" w:type="dxa"/>
          <w:tcBorders>
            <w:top w:val="single" w:sz="4" w:space="0" w:color="auto"/>
          </w:tcBorders>
          <w:shd w:val="clear" w:color="auto" w:fill="auto"/>
        </w:tcPr>
        <w:p w:rsidR="00C0552D" w:rsidRPr="00A1445A" w:rsidRDefault="00C0552D" w:rsidP="00A04B00">
          <w:pPr>
            <w:pStyle w:val="Noga"/>
            <w:tabs>
              <w:tab w:val="clear" w:pos="4536"/>
              <w:tab w:val="clear" w:pos="9072"/>
              <w:tab w:val="left" w:pos="1309"/>
            </w:tabs>
            <w:jc w:val="both"/>
            <w:rPr>
              <w:rFonts w:ascii="Arial" w:hAnsi="Arial" w:cs="Arial"/>
              <w:color w:val="000000"/>
              <w:sz w:val="20"/>
              <w:szCs w:val="20"/>
            </w:rPr>
          </w:pPr>
        </w:p>
      </w:tc>
    </w:tr>
  </w:tbl>
  <w:p w:rsidR="00370866" w:rsidRPr="00FC6CF0" w:rsidRDefault="00370866" w:rsidP="00001218">
    <w:pPr>
      <w:pStyle w:val="Glava"/>
      <w:rPr>
        <w:rFonts w:ascii="Arial" w:hAnsi="Arial" w:cs="Arial"/>
        <w:sz w:val="2"/>
        <w:szCs w:val="2"/>
      </w:rPr>
    </w:pPr>
  </w:p>
  <w:p w:rsidR="00370866" w:rsidRPr="00FC6CF0" w:rsidRDefault="00370866">
    <w:pPr>
      <w:pStyle w:val="Glava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11E1F"/>
    <w:multiLevelType w:val="hybridMultilevel"/>
    <w:tmpl w:val="ED8CA5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CF0"/>
    <w:rsid w:val="00001218"/>
    <w:rsid w:val="00005413"/>
    <w:rsid w:val="00013B00"/>
    <w:rsid w:val="00015B5A"/>
    <w:rsid w:val="00024C0C"/>
    <w:rsid w:val="0003000C"/>
    <w:rsid w:val="00036A6D"/>
    <w:rsid w:val="000412BC"/>
    <w:rsid w:val="00041EB9"/>
    <w:rsid w:val="00042D0E"/>
    <w:rsid w:val="00046CE2"/>
    <w:rsid w:val="0005065F"/>
    <w:rsid w:val="000517C0"/>
    <w:rsid w:val="000576FB"/>
    <w:rsid w:val="00096243"/>
    <w:rsid w:val="00096BE4"/>
    <w:rsid w:val="000C23A5"/>
    <w:rsid w:val="000C4583"/>
    <w:rsid w:val="000D76C2"/>
    <w:rsid w:val="000E1875"/>
    <w:rsid w:val="000E41E1"/>
    <w:rsid w:val="000E7050"/>
    <w:rsid w:val="000F039C"/>
    <w:rsid w:val="00101B68"/>
    <w:rsid w:val="00114401"/>
    <w:rsid w:val="0012533E"/>
    <w:rsid w:val="001314C1"/>
    <w:rsid w:val="001352C1"/>
    <w:rsid w:val="0014021F"/>
    <w:rsid w:val="00166414"/>
    <w:rsid w:val="0017296F"/>
    <w:rsid w:val="00174BFE"/>
    <w:rsid w:val="00183318"/>
    <w:rsid w:val="001A192F"/>
    <w:rsid w:val="001A7BD0"/>
    <w:rsid w:val="001D16E0"/>
    <w:rsid w:val="001D694D"/>
    <w:rsid w:val="001E7019"/>
    <w:rsid w:val="001F6F0F"/>
    <w:rsid w:val="0020233B"/>
    <w:rsid w:val="00227FB0"/>
    <w:rsid w:val="00231CFA"/>
    <w:rsid w:val="00235E41"/>
    <w:rsid w:val="002413BB"/>
    <w:rsid w:val="00241698"/>
    <w:rsid w:val="00251D3F"/>
    <w:rsid w:val="002618E0"/>
    <w:rsid w:val="002711AE"/>
    <w:rsid w:val="00273761"/>
    <w:rsid w:val="00277706"/>
    <w:rsid w:val="00283EE6"/>
    <w:rsid w:val="00285B81"/>
    <w:rsid w:val="002A6A46"/>
    <w:rsid w:val="002B28E0"/>
    <w:rsid w:val="002D6A3C"/>
    <w:rsid w:val="002E1329"/>
    <w:rsid w:val="002E2FD3"/>
    <w:rsid w:val="002E6B63"/>
    <w:rsid w:val="002F0041"/>
    <w:rsid w:val="002F68A9"/>
    <w:rsid w:val="00301033"/>
    <w:rsid w:val="00315EE6"/>
    <w:rsid w:val="00325D8B"/>
    <w:rsid w:val="00326834"/>
    <w:rsid w:val="0035043A"/>
    <w:rsid w:val="00367250"/>
    <w:rsid w:val="00370866"/>
    <w:rsid w:val="0037231D"/>
    <w:rsid w:val="003B36FC"/>
    <w:rsid w:val="003C0B6A"/>
    <w:rsid w:val="003C485B"/>
    <w:rsid w:val="003D1272"/>
    <w:rsid w:val="003E4CFC"/>
    <w:rsid w:val="003E5C55"/>
    <w:rsid w:val="003F0DE7"/>
    <w:rsid w:val="003F4DE6"/>
    <w:rsid w:val="00401905"/>
    <w:rsid w:val="00406373"/>
    <w:rsid w:val="0043532D"/>
    <w:rsid w:val="00445049"/>
    <w:rsid w:val="004527D6"/>
    <w:rsid w:val="00455EB9"/>
    <w:rsid w:val="004720C5"/>
    <w:rsid w:val="0047643E"/>
    <w:rsid w:val="004801D0"/>
    <w:rsid w:val="004A0508"/>
    <w:rsid w:val="004B065E"/>
    <w:rsid w:val="004D6B75"/>
    <w:rsid w:val="004F7C1C"/>
    <w:rsid w:val="0051745B"/>
    <w:rsid w:val="005255EB"/>
    <w:rsid w:val="005316C0"/>
    <w:rsid w:val="00537622"/>
    <w:rsid w:val="005608A6"/>
    <w:rsid w:val="005724B4"/>
    <w:rsid w:val="005753D9"/>
    <w:rsid w:val="0058399F"/>
    <w:rsid w:val="005A785E"/>
    <w:rsid w:val="005B253B"/>
    <w:rsid w:val="005B3910"/>
    <w:rsid w:val="005C4C41"/>
    <w:rsid w:val="005C71B5"/>
    <w:rsid w:val="005C7E8F"/>
    <w:rsid w:val="005D7E01"/>
    <w:rsid w:val="005F1763"/>
    <w:rsid w:val="005F18A6"/>
    <w:rsid w:val="005F751D"/>
    <w:rsid w:val="006110C9"/>
    <w:rsid w:val="0061133D"/>
    <w:rsid w:val="00612663"/>
    <w:rsid w:val="006163B7"/>
    <w:rsid w:val="006315C1"/>
    <w:rsid w:val="0065152F"/>
    <w:rsid w:val="00662D8F"/>
    <w:rsid w:val="0066332D"/>
    <w:rsid w:val="0066797F"/>
    <w:rsid w:val="00670A28"/>
    <w:rsid w:val="00670D1D"/>
    <w:rsid w:val="006D59F7"/>
    <w:rsid w:val="006E377F"/>
    <w:rsid w:val="006F44F5"/>
    <w:rsid w:val="006F758E"/>
    <w:rsid w:val="007033C0"/>
    <w:rsid w:val="007345D8"/>
    <w:rsid w:val="00741DF3"/>
    <w:rsid w:val="0074358A"/>
    <w:rsid w:val="00743912"/>
    <w:rsid w:val="00767A5A"/>
    <w:rsid w:val="00780396"/>
    <w:rsid w:val="0078319E"/>
    <w:rsid w:val="00783525"/>
    <w:rsid w:val="007D302C"/>
    <w:rsid w:val="007D4174"/>
    <w:rsid w:val="007D6DEB"/>
    <w:rsid w:val="007E0866"/>
    <w:rsid w:val="007E31E3"/>
    <w:rsid w:val="007F3757"/>
    <w:rsid w:val="007F4AC2"/>
    <w:rsid w:val="008155E7"/>
    <w:rsid w:val="00824D1D"/>
    <w:rsid w:val="00833AC6"/>
    <w:rsid w:val="00843739"/>
    <w:rsid w:val="00847017"/>
    <w:rsid w:val="00882006"/>
    <w:rsid w:val="00895F3B"/>
    <w:rsid w:val="008A757F"/>
    <w:rsid w:val="008C2AC2"/>
    <w:rsid w:val="008D6DCE"/>
    <w:rsid w:val="008E64FA"/>
    <w:rsid w:val="008F3E2F"/>
    <w:rsid w:val="00913CF8"/>
    <w:rsid w:val="00945B2B"/>
    <w:rsid w:val="00946104"/>
    <w:rsid w:val="009514DD"/>
    <w:rsid w:val="0095198A"/>
    <w:rsid w:val="00953938"/>
    <w:rsid w:val="00965BB4"/>
    <w:rsid w:val="009A46DA"/>
    <w:rsid w:val="009B0FC7"/>
    <w:rsid w:val="009B70DE"/>
    <w:rsid w:val="009B7404"/>
    <w:rsid w:val="009C29C7"/>
    <w:rsid w:val="009C5AA6"/>
    <w:rsid w:val="009C6284"/>
    <w:rsid w:val="009D132C"/>
    <w:rsid w:val="009D21DD"/>
    <w:rsid w:val="009D40B0"/>
    <w:rsid w:val="009D6C16"/>
    <w:rsid w:val="009E053F"/>
    <w:rsid w:val="009F0952"/>
    <w:rsid w:val="009F7784"/>
    <w:rsid w:val="00A04B00"/>
    <w:rsid w:val="00A129BB"/>
    <w:rsid w:val="00A1445A"/>
    <w:rsid w:val="00A22650"/>
    <w:rsid w:val="00A3063E"/>
    <w:rsid w:val="00A33BE0"/>
    <w:rsid w:val="00A515E0"/>
    <w:rsid w:val="00A57325"/>
    <w:rsid w:val="00A75802"/>
    <w:rsid w:val="00A83E62"/>
    <w:rsid w:val="00A92149"/>
    <w:rsid w:val="00AA2F1C"/>
    <w:rsid w:val="00AB1522"/>
    <w:rsid w:val="00AB3346"/>
    <w:rsid w:val="00AB4674"/>
    <w:rsid w:val="00AC72E5"/>
    <w:rsid w:val="00AD3618"/>
    <w:rsid w:val="00AF0AD6"/>
    <w:rsid w:val="00B021F9"/>
    <w:rsid w:val="00B16F2C"/>
    <w:rsid w:val="00B20079"/>
    <w:rsid w:val="00B200E4"/>
    <w:rsid w:val="00B26132"/>
    <w:rsid w:val="00B2757C"/>
    <w:rsid w:val="00B32A8A"/>
    <w:rsid w:val="00B4256F"/>
    <w:rsid w:val="00B528B4"/>
    <w:rsid w:val="00B52BF2"/>
    <w:rsid w:val="00B5369B"/>
    <w:rsid w:val="00B538F5"/>
    <w:rsid w:val="00B661E3"/>
    <w:rsid w:val="00B86392"/>
    <w:rsid w:val="00B9309E"/>
    <w:rsid w:val="00B930C3"/>
    <w:rsid w:val="00BA2C4A"/>
    <w:rsid w:val="00BB3939"/>
    <w:rsid w:val="00BC00ED"/>
    <w:rsid w:val="00BC2412"/>
    <w:rsid w:val="00BC29DD"/>
    <w:rsid w:val="00BD4AEF"/>
    <w:rsid w:val="00BE37D8"/>
    <w:rsid w:val="00BE655C"/>
    <w:rsid w:val="00BE6AEE"/>
    <w:rsid w:val="00BF78A7"/>
    <w:rsid w:val="00C03C9F"/>
    <w:rsid w:val="00C052DE"/>
    <w:rsid w:val="00C0552D"/>
    <w:rsid w:val="00C06BC8"/>
    <w:rsid w:val="00C124CB"/>
    <w:rsid w:val="00C16A39"/>
    <w:rsid w:val="00C2689D"/>
    <w:rsid w:val="00C468BF"/>
    <w:rsid w:val="00C5124D"/>
    <w:rsid w:val="00C565DD"/>
    <w:rsid w:val="00C64A95"/>
    <w:rsid w:val="00C82B34"/>
    <w:rsid w:val="00C9531D"/>
    <w:rsid w:val="00C97729"/>
    <w:rsid w:val="00CB008E"/>
    <w:rsid w:val="00CB0D95"/>
    <w:rsid w:val="00CD61B2"/>
    <w:rsid w:val="00CD7808"/>
    <w:rsid w:val="00CF12FC"/>
    <w:rsid w:val="00D05C1E"/>
    <w:rsid w:val="00D06278"/>
    <w:rsid w:val="00D2343D"/>
    <w:rsid w:val="00D278D4"/>
    <w:rsid w:val="00D5375C"/>
    <w:rsid w:val="00D579F3"/>
    <w:rsid w:val="00D707B4"/>
    <w:rsid w:val="00D7309B"/>
    <w:rsid w:val="00D77C8B"/>
    <w:rsid w:val="00D8275B"/>
    <w:rsid w:val="00D83E17"/>
    <w:rsid w:val="00D84490"/>
    <w:rsid w:val="00D92C6A"/>
    <w:rsid w:val="00DA0B86"/>
    <w:rsid w:val="00DB3E61"/>
    <w:rsid w:val="00DF116B"/>
    <w:rsid w:val="00DF3D50"/>
    <w:rsid w:val="00E029F3"/>
    <w:rsid w:val="00E02C2C"/>
    <w:rsid w:val="00E0340C"/>
    <w:rsid w:val="00E04547"/>
    <w:rsid w:val="00E3300C"/>
    <w:rsid w:val="00E43C3D"/>
    <w:rsid w:val="00E550C0"/>
    <w:rsid w:val="00E61921"/>
    <w:rsid w:val="00E676C3"/>
    <w:rsid w:val="00E749F2"/>
    <w:rsid w:val="00E91435"/>
    <w:rsid w:val="00E932C8"/>
    <w:rsid w:val="00E95B73"/>
    <w:rsid w:val="00E9600A"/>
    <w:rsid w:val="00EA7B9C"/>
    <w:rsid w:val="00EB0DA9"/>
    <w:rsid w:val="00EE7F32"/>
    <w:rsid w:val="00EF0493"/>
    <w:rsid w:val="00EF1787"/>
    <w:rsid w:val="00EF18FD"/>
    <w:rsid w:val="00F0300D"/>
    <w:rsid w:val="00F0401D"/>
    <w:rsid w:val="00F21B47"/>
    <w:rsid w:val="00F267C9"/>
    <w:rsid w:val="00F27435"/>
    <w:rsid w:val="00F41606"/>
    <w:rsid w:val="00F42EA0"/>
    <w:rsid w:val="00F51F53"/>
    <w:rsid w:val="00F52A52"/>
    <w:rsid w:val="00F60526"/>
    <w:rsid w:val="00F65355"/>
    <w:rsid w:val="00F70BB8"/>
    <w:rsid w:val="00F71C13"/>
    <w:rsid w:val="00F758D0"/>
    <w:rsid w:val="00F92D1D"/>
    <w:rsid w:val="00F94B26"/>
    <w:rsid w:val="00FA340B"/>
    <w:rsid w:val="00FA493D"/>
    <w:rsid w:val="00FB174F"/>
    <w:rsid w:val="00FB4D34"/>
    <w:rsid w:val="00FC4EB7"/>
    <w:rsid w:val="00FC6CF0"/>
    <w:rsid w:val="00FD6770"/>
    <w:rsid w:val="00FE34E9"/>
    <w:rsid w:val="00FE6A48"/>
    <w:rsid w:val="00FF1B9E"/>
    <w:rsid w:val="00F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518557"/>
  <w15:chartTrackingRefBased/>
  <w15:docId w15:val="{294B6FCC-A63B-4219-A17D-E0DB80C5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C6CF0"/>
    <w:rPr>
      <w:sz w:val="24"/>
      <w:szCs w:val="24"/>
    </w:rPr>
  </w:style>
  <w:style w:type="paragraph" w:styleId="Naslov1">
    <w:name w:val="heading 1"/>
    <w:basedOn w:val="Navaden"/>
    <w:next w:val="Navaden"/>
    <w:qFormat/>
    <w:rsid w:val="00FC6C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801D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801D0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4801D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4801D0"/>
    <w:rPr>
      <w:color w:val="0000FF"/>
      <w:u w:val="single"/>
    </w:rPr>
  </w:style>
  <w:style w:type="character" w:styleId="tevilkastrani">
    <w:name w:val="page number"/>
    <w:basedOn w:val="Privzetapisavaodstavka"/>
    <w:rsid w:val="00001218"/>
  </w:style>
  <w:style w:type="paragraph" w:styleId="Besedilooblaka">
    <w:name w:val="Balloon Text"/>
    <w:basedOn w:val="Navaden"/>
    <w:semiHidden/>
    <w:rsid w:val="00537622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251D3F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251D3F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rsbr.si" TargetMode="External"/><Relationship Id="rId2" Type="http://schemas.openxmlformats.org/officeDocument/2006/relationships/hyperlink" Target="mailto:info@zrsbr.si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SU\Dopis%20-%202008-10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B012CE-9E1E-4F58-AF9B-A5239B9E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- 2008-10.dot</Template>
  <TotalTime>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ZRSBR</Company>
  <LinksUpToDate>false</LinksUpToDate>
  <CharactersWithSpaces>4602</CharactersWithSpaces>
  <SharedDoc>false</SharedDoc>
  <HLinks>
    <vt:vector size="12" baseType="variant">
      <vt:variant>
        <vt:i4>786439</vt:i4>
      </vt:variant>
      <vt:variant>
        <vt:i4>9</vt:i4>
      </vt:variant>
      <vt:variant>
        <vt:i4>0</vt:i4>
      </vt:variant>
      <vt:variant>
        <vt:i4>5</vt:i4>
      </vt:variant>
      <vt:variant>
        <vt:lpwstr>http://www.zrsbr.si/</vt:lpwstr>
      </vt:variant>
      <vt:variant>
        <vt:lpwstr/>
      </vt:variant>
      <vt:variant>
        <vt:i4>7995459</vt:i4>
      </vt:variant>
      <vt:variant>
        <vt:i4>6</vt:i4>
      </vt:variant>
      <vt:variant>
        <vt:i4>0</vt:i4>
      </vt:variant>
      <vt:variant>
        <vt:i4>5</vt:i4>
      </vt:variant>
      <vt:variant>
        <vt:lpwstr>mailto:info@zrsbr.si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Branko DEBELJAK</dc:creator>
  <cp:keywords/>
  <cp:lastModifiedBy>Boštjan KLOFUTAR</cp:lastModifiedBy>
  <cp:revision>2</cp:revision>
  <cp:lastPrinted>2015-01-23T12:48:00Z</cp:lastPrinted>
  <dcterms:created xsi:type="dcterms:W3CDTF">2019-03-06T13:42:00Z</dcterms:created>
  <dcterms:modified xsi:type="dcterms:W3CDTF">2019-03-06T13:42:00Z</dcterms:modified>
</cp:coreProperties>
</file>