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3E2B" w14:textId="7122E677" w:rsid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62F04E87" w14:textId="374E4170" w:rsid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50314705" w14:textId="77777777" w:rsidR="00967322" w:rsidRP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0F02A64F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>TENDER DOCUMENTATION</w:t>
      </w:r>
    </w:p>
    <w:p w14:paraId="73B2CF06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BD1E4F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for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award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a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contract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in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accordance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with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open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procedure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for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replacement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exchange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petroleum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products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B4095CA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and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specifically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</w:p>
    <w:p w14:paraId="07BF3F1A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sale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app. 9,258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cbm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unleaded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gasoline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and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CEDA45" w14:textId="74F29797" w:rsidR="00967322" w:rsidRPr="00967322" w:rsidRDefault="00967322" w:rsidP="00B372DA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9,258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cbm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B372DA">
        <w:rPr>
          <w:rFonts w:ascii="Arial" w:hAnsi="Arial" w:cs="Arial"/>
          <w:b/>
          <w:bCs/>
          <w:sz w:val="22"/>
          <w:szCs w:val="22"/>
        </w:rPr>
        <w:t>diesel</w:t>
      </w:r>
      <w:proofErr w:type="spellEnd"/>
      <w:r w:rsidR="00B372D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B372DA">
        <w:rPr>
          <w:rFonts w:ascii="Arial" w:hAnsi="Arial" w:cs="Arial"/>
          <w:b/>
          <w:bCs/>
          <w:sz w:val="22"/>
          <w:szCs w:val="22"/>
        </w:rPr>
        <w:t>fuel</w:t>
      </w:r>
      <w:bookmarkStart w:id="0" w:name="_GoBack"/>
      <w:bookmarkEnd w:id="0"/>
      <w:proofErr w:type="spellEnd"/>
    </w:p>
    <w:p w14:paraId="509851AC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7E820DB2" w14:textId="77777777" w:rsidR="00967322" w:rsidRPr="00967322" w:rsidRDefault="00967322" w:rsidP="00967322">
      <w:pPr>
        <w:pStyle w:val="Telobesedila2"/>
        <w:jc w:val="both"/>
        <w:rPr>
          <w:rFonts w:cs="Arial"/>
        </w:rPr>
      </w:pPr>
      <w:proofErr w:type="spellStart"/>
      <w:r w:rsidRPr="00967322">
        <w:rPr>
          <w:rFonts w:cs="Arial"/>
        </w:rPr>
        <w:t>The</w:t>
      </w:r>
      <w:proofErr w:type="spellEnd"/>
      <w:r w:rsidRPr="00967322">
        <w:rPr>
          <w:rFonts w:cs="Arial"/>
        </w:rPr>
        <w:t xml:space="preserve"> Tender </w:t>
      </w:r>
      <w:proofErr w:type="spellStart"/>
      <w:r w:rsidRPr="00967322">
        <w:rPr>
          <w:rFonts w:cs="Arial"/>
        </w:rPr>
        <w:t>Documentation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has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been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drawn</w:t>
      </w:r>
      <w:proofErr w:type="spellEnd"/>
      <w:r w:rsidRPr="00967322">
        <w:rPr>
          <w:rFonts w:cs="Arial"/>
        </w:rPr>
        <w:t xml:space="preserve"> up in </w:t>
      </w:r>
      <w:proofErr w:type="spellStart"/>
      <w:r w:rsidRPr="00967322">
        <w:rPr>
          <w:rFonts w:cs="Arial"/>
        </w:rPr>
        <w:t>accordance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with</w:t>
      </w:r>
      <w:proofErr w:type="spellEnd"/>
      <w:r w:rsidRPr="00967322">
        <w:rPr>
          <w:rFonts w:cs="Arial"/>
        </w:rPr>
        <w:t xml:space="preserve"> </w:t>
      </w:r>
    </w:p>
    <w:p w14:paraId="5E545A2D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65145B91" w14:textId="77777777" w:rsidR="00967322" w:rsidRPr="00967322" w:rsidRDefault="00967322" w:rsidP="00967322">
      <w:pPr>
        <w:pStyle w:val="Telobesedila2"/>
        <w:numPr>
          <w:ilvl w:val="0"/>
          <w:numId w:val="27"/>
        </w:numPr>
        <w:spacing w:after="0"/>
        <w:jc w:val="both"/>
        <w:rPr>
          <w:rFonts w:cs="Arial"/>
          <w:bCs/>
        </w:rPr>
      </w:pPr>
      <w:proofErr w:type="spellStart"/>
      <w:r w:rsidRPr="00967322">
        <w:rPr>
          <w:rFonts w:cs="Arial"/>
          <w:bCs/>
        </w:rPr>
        <w:t>Public</w:t>
      </w:r>
      <w:proofErr w:type="spellEnd"/>
      <w:r w:rsidRPr="00967322">
        <w:rPr>
          <w:rFonts w:cs="Arial"/>
          <w:bCs/>
        </w:rPr>
        <w:t xml:space="preserve"> </w:t>
      </w:r>
      <w:proofErr w:type="spellStart"/>
      <w:r w:rsidRPr="00967322">
        <w:rPr>
          <w:rFonts w:cs="Arial"/>
          <w:bCs/>
        </w:rPr>
        <w:t>Procurement</w:t>
      </w:r>
      <w:proofErr w:type="spellEnd"/>
      <w:r w:rsidRPr="00967322">
        <w:rPr>
          <w:rFonts w:cs="Arial"/>
          <w:bCs/>
        </w:rPr>
        <w:t xml:space="preserve"> </w:t>
      </w:r>
      <w:proofErr w:type="spellStart"/>
      <w:r w:rsidRPr="00967322">
        <w:rPr>
          <w:rFonts w:cs="Arial"/>
          <w:bCs/>
        </w:rPr>
        <w:t>Act</w:t>
      </w:r>
      <w:proofErr w:type="spellEnd"/>
      <w:r w:rsidRPr="00967322">
        <w:rPr>
          <w:rFonts w:cs="Arial"/>
          <w:bCs/>
        </w:rPr>
        <w:t xml:space="preserve"> </w:t>
      </w:r>
    </w:p>
    <w:p w14:paraId="5909C71B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Act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on Legal </w:t>
      </w:r>
      <w:proofErr w:type="spellStart"/>
      <w:r w:rsidRPr="00967322">
        <w:rPr>
          <w:rFonts w:ascii="Arial" w:hAnsi="Arial" w:cs="Arial"/>
          <w:sz w:val="22"/>
          <w:szCs w:val="22"/>
        </w:rPr>
        <w:t>Protection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967322">
        <w:rPr>
          <w:rFonts w:ascii="Arial" w:hAnsi="Arial" w:cs="Arial"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Procedures</w:t>
      </w:r>
      <w:proofErr w:type="spellEnd"/>
    </w:p>
    <w:p w14:paraId="67283331" w14:textId="77777777" w:rsidR="00967322" w:rsidRPr="00967322" w:rsidRDefault="00967322" w:rsidP="0096732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C40DD95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Commodity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Reserves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Act</w:t>
      </w:r>
      <w:proofErr w:type="spellEnd"/>
    </w:p>
    <w:p w14:paraId="2F815D7E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10EC85BD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Finance </w:t>
      </w:r>
      <w:proofErr w:type="spellStart"/>
      <w:r w:rsidRPr="00967322">
        <w:rPr>
          <w:rFonts w:ascii="Arial" w:hAnsi="Arial" w:cs="Arial"/>
          <w:sz w:val="22"/>
          <w:szCs w:val="22"/>
        </w:rPr>
        <w:t>Act</w:t>
      </w:r>
      <w:proofErr w:type="spellEnd"/>
    </w:p>
    <w:p w14:paraId="5CD36AC4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35B3C981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other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effective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legislation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and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standards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governing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area.</w:t>
      </w:r>
    </w:p>
    <w:p w14:paraId="4D462DB5" w14:textId="77777777" w:rsidR="00967322" w:rsidRPr="00967322" w:rsidRDefault="00967322" w:rsidP="00967322">
      <w:pPr>
        <w:rPr>
          <w:rFonts w:ascii="Arial" w:hAnsi="Arial" w:cs="Arial"/>
          <w:color w:val="000000"/>
          <w:sz w:val="22"/>
          <w:szCs w:val="22"/>
        </w:rPr>
      </w:pPr>
    </w:p>
    <w:p w14:paraId="18545C69" w14:textId="77777777" w:rsidR="00967322" w:rsidRPr="00967322" w:rsidRDefault="00967322" w:rsidP="00967322">
      <w:pPr>
        <w:pStyle w:val="Telobesedila2"/>
        <w:jc w:val="both"/>
        <w:rPr>
          <w:rFonts w:cs="Arial"/>
          <w:color w:val="000000"/>
        </w:rPr>
      </w:pPr>
    </w:p>
    <w:p w14:paraId="48B80526" w14:textId="77777777" w:rsidR="00AC7136" w:rsidRPr="00967322" w:rsidRDefault="00AC7136" w:rsidP="00967322">
      <w:pPr>
        <w:rPr>
          <w:rFonts w:ascii="Arial" w:hAnsi="Arial" w:cs="Arial"/>
          <w:sz w:val="22"/>
          <w:szCs w:val="22"/>
        </w:rPr>
      </w:pPr>
    </w:p>
    <w:sectPr w:rsidR="00AC7136" w:rsidRPr="00967322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682B2" w14:textId="77777777" w:rsidR="0073055A" w:rsidRDefault="0073055A">
      <w:r>
        <w:separator/>
      </w:r>
    </w:p>
  </w:endnote>
  <w:endnote w:type="continuationSeparator" w:id="0">
    <w:p w14:paraId="6FEDE468" w14:textId="77777777" w:rsidR="0073055A" w:rsidRDefault="0073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67AE34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96732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96732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9EE1EA0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372D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B372D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B6594" w14:textId="77777777" w:rsidR="0073055A" w:rsidRDefault="0073055A">
      <w:r>
        <w:separator/>
      </w:r>
    </w:p>
  </w:footnote>
  <w:footnote w:type="continuationSeparator" w:id="0">
    <w:p w14:paraId="6610C927" w14:textId="77777777" w:rsidR="0073055A" w:rsidRDefault="00730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B372D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B372D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8"/>
  </w:num>
  <w:num w:numId="7">
    <w:abstractNumId w:val="20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9"/>
  </w:num>
  <w:num w:numId="20">
    <w:abstractNumId w:val="11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67322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372D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fef81378-7155-4c2c-9941-e6fa858b3999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f548e2-49b0-4167-80ee-6fc57c1705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EA3AA9-DC9C-44B1-8C8E-5D620899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87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564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2020-01-31T09:18:00Z</dcterms:created>
  <dcterms:modified xsi:type="dcterms:W3CDTF">2020-03-23T12:01:00Z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