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522A" w:rsidRPr="000456C4" w:rsidRDefault="00F7522A" w:rsidP="002D66A8">
      <w:pPr>
        <w:tabs>
          <w:tab w:val="left" w:pos="993"/>
          <w:tab w:val="left" w:pos="1134"/>
        </w:tabs>
        <w:jc w:val="both"/>
        <w:rPr>
          <w:rFonts w:cs="Arial"/>
        </w:rPr>
      </w:pPr>
      <w:r w:rsidRPr="000456C4">
        <w:rPr>
          <w:rFonts w:cs="Arial"/>
        </w:rPr>
        <w:t>Predmet:</w:t>
      </w:r>
      <w:r>
        <w:rPr>
          <w:rFonts w:cs="Arial"/>
        </w:rPr>
        <w:t xml:space="preserve"> </w:t>
      </w:r>
      <w:r w:rsidRPr="00943F2F">
        <w:rPr>
          <w:rFonts w:cs="Arial"/>
        </w:rPr>
        <w:t>I</w:t>
      </w:r>
      <w:r w:rsidRPr="00943F2F">
        <w:rPr>
          <w:rFonts w:cs="Arial"/>
          <w:bCs/>
        </w:rPr>
        <w:t>zdelava projektne dokumentacije IZP, DGD in PZI</w:t>
      </w:r>
      <w:r w:rsidRPr="00CE4926">
        <w:rPr>
          <w:rFonts w:cs="Arial"/>
          <w:b/>
          <w:bCs/>
        </w:rPr>
        <w:t xml:space="preserve"> </w:t>
      </w:r>
      <w:r>
        <w:rPr>
          <w:rFonts w:cs="Arial"/>
        </w:rPr>
        <w:t xml:space="preserve">za izgradnjo rezervoarjev R9, R10, R11 in R12 ter za celotno rekonstrukcijo </w:t>
      </w:r>
      <w:r w:rsidRPr="000E5379">
        <w:rPr>
          <w:rFonts w:cs="Arial"/>
        </w:rPr>
        <w:t>SND Celje</w:t>
      </w:r>
    </w:p>
    <w:p w:rsidR="00F7522A" w:rsidRDefault="00F7522A" w:rsidP="00F7522A">
      <w:pPr>
        <w:tabs>
          <w:tab w:val="left" w:pos="993"/>
          <w:tab w:val="left" w:pos="1134"/>
        </w:tabs>
        <w:rPr>
          <w:rFonts w:cs="Arial"/>
          <w:i/>
        </w:rPr>
      </w:pPr>
      <w:r w:rsidRPr="000456C4">
        <w:rPr>
          <w:rFonts w:cs="Arial"/>
        </w:rPr>
        <w:t>Številka JN: 2020-246</w:t>
      </w:r>
    </w:p>
    <w:p w:rsidR="006011FA" w:rsidRDefault="006011FA" w:rsidP="00CA6711">
      <w:pPr>
        <w:rPr>
          <w:rFonts w:cs="Arial"/>
        </w:rPr>
      </w:pPr>
    </w:p>
    <w:p w:rsidR="00933473" w:rsidRDefault="00933473" w:rsidP="00933473">
      <w:pPr>
        <w:widowControl w:val="0"/>
        <w:rPr>
          <w:rFonts w:cs="Arial"/>
          <w:b/>
        </w:rPr>
      </w:pPr>
    </w:p>
    <w:p w:rsidR="00933473" w:rsidRPr="00160AF7" w:rsidRDefault="00933473" w:rsidP="00933473">
      <w:pPr>
        <w:widowControl w:val="0"/>
        <w:jc w:val="center"/>
        <w:rPr>
          <w:rFonts w:cs="Arial"/>
          <w:b/>
        </w:rPr>
      </w:pPr>
      <w:r w:rsidRPr="00160AF7">
        <w:rPr>
          <w:rFonts w:cs="Arial"/>
          <w:b/>
        </w:rPr>
        <w:t xml:space="preserve">POGOJI ZA UGOTAVLJANJE SPOSOBNOSTI </w:t>
      </w:r>
      <w:r>
        <w:rPr>
          <w:rFonts w:cs="Arial"/>
          <w:b/>
        </w:rPr>
        <w:t>IN USPOSOBL</w:t>
      </w:r>
      <w:r w:rsidR="009D7A82">
        <w:rPr>
          <w:rFonts w:cs="Arial"/>
          <w:b/>
        </w:rPr>
        <w:t>J</w:t>
      </w:r>
      <w:r>
        <w:rPr>
          <w:rFonts w:cs="Arial"/>
          <w:b/>
        </w:rPr>
        <w:t xml:space="preserve">ENOSTI </w:t>
      </w:r>
      <w:r w:rsidRPr="00160AF7">
        <w:rPr>
          <w:rFonts w:cs="Arial"/>
          <w:b/>
        </w:rPr>
        <w:t>PONUDNIKA</w:t>
      </w:r>
    </w:p>
    <w:p w:rsidR="00933473" w:rsidRDefault="00933473" w:rsidP="00933473">
      <w:pPr>
        <w:pStyle w:val="Telobesedila"/>
        <w:tabs>
          <w:tab w:val="num" w:pos="0"/>
        </w:tabs>
        <w:spacing w:after="0"/>
        <w:jc w:val="both"/>
        <w:rPr>
          <w:rFonts w:cs="Arial"/>
        </w:rPr>
      </w:pPr>
    </w:p>
    <w:p w:rsidR="00933473" w:rsidRDefault="00933473" w:rsidP="00933473">
      <w:pPr>
        <w:pStyle w:val="Telobesedila"/>
        <w:tabs>
          <w:tab w:val="num" w:pos="0"/>
        </w:tabs>
        <w:spacing w:after="0"/>
        <w:jc w:val="both"/>
        <w:rPr>
          <w:rFonts w:cs="Arial"/>
        </w:rPr>
      </w:pPr>
    </w:p>
    <w:p w:rsidR="00933473" w:rsidRPr="001248E5" w:rsidRDefault="00933473" w:rsidP="00933473">
      <w:pPr>
        <w:pStyle w:val="Telobesedila"/>
        <w:tabs>
          <w:tab w:val="num" w:pos="0"/>
        </w:tabs>
        <w:spacing w:after="0"/>
        <w:jc w:val="both"/>
        <w:rPr>
          <w:rFonts w:cs="Arial"/>
        </w:rPr>
      </w:pPr>
      <w:r w:rsidRPr="001248E5">
        <w:rPr>
          <w:rFonts w:cs="Arial"/>
        </w:rPr>
        <w:t>Ponudnik mora izpolnjevati vse v te</w:t>
      </w:r>
      <w:r>
        <w:rPr>
          <w:rFonts w:cs="Arial"/>
        </w:rPr>
        <w:t>m</w:t>
      </w:r>
      <w:r w:rsidRPr="001248E5">
        <w:rPr>
          <w:rFonts w:cs="Arial"/>
        </w:rPr>
        <w:t xml:space="preserve"> </w:t>
      </w:r>
      <w:r>
        <w:rPr>
          <w:rFonts w:cs="Arial"/>
        </w:rPr>
        <w:t>obrazcu navedene pogoje.</w:t>
      </w:r>
    </w:p>
    <w:p w:rsidR="00933473" w:rsidRPr="001248E5" w:rsidRDefault="00933473" w:rsidP="00933473">
      <w:pPr>
        <w:pStyle w:val="Telobesedila"/>
        <w:tabs>
          <w:tab w:val="num" w:pos="0"/>
        </w:tabs>
        <w:spacing w:after="0"/>
        <w:jc w:val="both"/>
        <w:rPr>
          <w:rFonts w:cs="Arial"/>
        </w:rPr>
      </w:pPr>
    </w:p>
    <w:p w:rsidR="00933473" w:rsidRPr="001248E5" w:rsidRDefault="00933473" w:rsidP="00933473">
      <w:pPr>
        <w:pStyle w:val="Telobesedila"/>
        <w:tabs>
          <w:tab w:val="num" w:pos="0"/>
        </w:tabs>
        <w:spacing w:after="0"/>
        <w:jc w:val="both"/>
        <w:rPr>
          <w:rFonts w:cs="Arial"/>
        </w:rPr>
      </w:pPr>
      <w:r w:rsidRPr="001248E5">
        <w:rPr>
          <w:rFonts w:cs="Arial"/>
        </w:rPr>
        <w:t xml:space="preserve">Ob predložitvi ponudbe bo naročnik namesto potrdil, ki jih izdajajo javni organi ali tretje osebe, v skladu z 79. členom ZJN-3 sprejel </w:t>
      </w:r>
      <w:r w:rsidRPr="00743D3F">
        <w:rPr>
          <w:rFonts w:cs="Arial"/>
          <w:b/>
          <w:i/>
        </w:rPr>
        <w:t xml:space="preserve">Enotni evropski dokument v zvezi z oddajo javnega naročila - </w:t>
      </w:r>
      <w:r w:rsidRPr="00743D3F">
        <w:rPr>
          <w:rFonts w:cs="Arial"/>
          <w:b/>
        </w:rPr>
        <w:t>ESPD</w:t>
      </w:r>
      <w:r w:rsidRPr="001248E5">
        <w:rPr>
          <w:rFonts w:cs="Arial"/>
        </w:rPr>
        <w:t xml:space="preserve">, ki predstavlja lastno izjavo, kot predhodni dokaz v zvezi s </w:t>
      </w:r>
      <w:r w:rsidRPr="00933473">
        <w:rPr>
          <w:rFonts w:cs="Arial"/>
        </w:rPr>
        <w:t>točko 1.</w:t>
      </w:r>
      <w:r w:rsidRPr="004D32E0">
        <w:rPr>
          <w:rFonts w:cs="Arial"/>
        </w:rPr>
        <w:t xml:space="preserve"> </w:t>
      </w:r>
      <w:r w:rsidRPr="00933473">
        <w:rPr>
          <w:rFonts w:cs="Arial"/>
        </w:rPr>
        <w:t>Razlogi za izključitev</w:t>
      </w:r>
      <w:r>
        <w:rPr>
          <w:rFonts w:cs="Arial"/>
        </w:rPr>
        <w:t xml:space="preserve">: </w:t>
      </w:r>
      <w:r w:rsidRPr="004D32E0">
        <w:rPr>
          <w:rFonts w:cs="Arial"/>
        </w:rPr>
        <w:t xml:space="preserve">od </w:t>
      </w:r>
      <w:r w:rsidRPr="00933473">
        <w:rPr>
          <w:rFonts w:cs="Arial"/>
        </w:rPr>
        <w:t xml:space="preserve">A </w:t>
      </w:r>
      <w:r>
        <w:rPr>
          <w:rFonts w:cs="Arial"/>
        </w:rPr>
        <w:t xml:space="preserve">do </w:t>
      </w:r>
      <w:r w:rsidRPr="00933473">
        <w:rPr>
          <w:rFonts w:cs="Arial"/>
        </w:rPr>
        <w:t>D</w:t>
      </w:r>
      <w:r w:rsidR="00170AB2">
        <w:rPr>
          <w:rFonts w:cs="Arial"/>
        </w:rPr>
        <w:t>,</w:t>
      </w:r>
      <w:r w:rsidRPr="004D32E0">
        <w:rPr>
          <w:rFonts w:cs="Arial"/>
        </w:rPr>
        <w:t xml:space="preserve"> </w:t>
      </w:r>
      <w:r w:rsidRPr="00933473">
        <w:rPr>
          <w:rFonts w:cs="Arial"/>
        </w:rPr>
        <w:t>točko 2</w:t>
      </w:r>
      <w:r>
        <w:rPr>
          <w:rFonts w:cs="Arial"/>
        </w:rPr>
        <w:t xml:space="preserve">. </w:t>
      </w:r>
      <w:r w:rsidRPr="00933473">
        <w:rPr>
          <w:rFonts w:cs="Arial"/>
        </w:rPr>
        <w:t>Pogoji za sodelovanje</w:t>
      </w:r>
      <w:r>
        <w:rPr>
          <w:rFonts w:cs="Arial"/>
        </w:rPr>
        <w:t>:</w:t>
      </w:r>
      <w:r w:rsidRPr="004D32E0">
        <w:rPr>
          <w:rFonts w:cs="Arial"/>
        </w:rPr>
        <w:t xml:space="preserve"> od </w:t>
      </w:r>
      <w:r w:rsidRPr="00933473">
        <w:rPr>
          <w:rFonts w:cs="Arial"/>
        </w:rPr>
        <w:t xml:space="preserve">A </w:t>
      </w:r>
      <w:r>
        <w:rPr>
          <w:rFonts w:cs="Arial"/>
        </w:rPr>
        <w:t xml:space="preserve">do </w:t>
      </w:r>
      <w:r w:rsidR="00610EF3">
        <w:rPr>
          <w:rFonts w:cs="Arial"/>
        </w:rPr>
        <w:t>C</w:t>
      </w:r>
      <w:r w:rsidR="00170AB2">
        <w:rPr>
          <w:rFonts w:cs="Arial"/>
        </w:rPr>
        <w:t xml:space="preserve"> in točko 3. Drugi pogoji: </w:t>
      </w:r>
      <w:r w:rsidR="00170AB2" w:rsidRPr="004D32E0">
        <w:rPr>
          <w:rFonts w:cs="Arial"/>
        </w:rPr>
        <w:t xml:space="preserve">od </w:t>
      </w:r>
      <w:r w:rsidR="00170AB2" w:rsidRPr="00933473">
        <w:rPr>
          <w:rFonts w:cs="Arial"/>
        </w:rPr>
        <w:t xml:space="preserve">A </w:t>
      </w:r>
      <w:r w:rsidR="00170AB2">
        <w:rPr>
          <w:rFonts w:cs="Arial"/>
        </w:rPr>
        <w:t>do C</w:t>
      </w:r>
      <w:r w:rsidRPr="001248E5">
        <w:rPr>
          <w:rFonts w:cs="Arial"/>
        </w:rPr>
        <w:t xml:space="preserve">. </w:t>
      </w:r>
    </w:p>
    <w:p w:rsidR="00933473" w:rsidRPr="001248E5" w:rsidRDefault="00933473" w:rsidP="00933473">
      <w:pPr>
        <w:pStyle w:val="Telobesedila"/>
        <w:tabs>
          <w:tab w:val="num" w:pos="0"/>
        </w:tabs>
        <w:spacing w:after="0"/>
        <w:jc w:val="both"/>
        <w:rPr>
          <w:rFonts w:cs="Arial"/>
        </w:rPr>
      </w:pPr>
    </w:p>
    <w:p w:rsidR="00933473" w:rsidRPr="00C57C5F" w:rsidRDefault="00933473" w:rsidP="00933473">
      <w:pPr>
        <w:pStyle w:val="Telobesedila"/>
        <w:tabs>
          <w:tab w:val="num" w:pos="0"/>
        </w:tabs>
        <w:spacing w:after="0"/>
        <w:jc w:val="both"/>
        <w:rPr>
          <w:rFonts w:cs="Arial"/>
        </w:rPr>
      </w:pPr>
      <w:r w:rsidRPr="00C57C5F">
        <w:rPr>
          <w:rFonts w:cs="Arial"/>
        </w:rPr>
        <w:t xml:space="preserve">Ponudnik mora v obrazcu ESPD navesti vse informacije, ki so potrebne za pridobitev dokazil, potrdil in informacij, zlasti spletni naslov baze podatkov za pridobitev dokumentov, podatke za identifikacijo, če je to potrebno, pa tudi soglasje, da </w:t>
      </w:r>
      <w:r w:rsidR="00610EF3" w:rsidRPr="00C57C5F">
        <w:rPr>
          <w:rFonts w:cs="Arial"/>
        </w:rPr>
        <w:t xml:space="preserve">dokazilo </w:t>
      </w:r>
      <w:r w:rsidRPr="00C57C5F">
        <w:rPr>
          <w:rFonts w:cs="Arial"/>
        </w:rPr>
        <w:t>pridobi naročnik.</w:t>
      </w:r>
    </w:p>
    <w:p w:rsidR="00933473" w:rsidRDefault="00933473" w:rsidP="00933473">
      <w:pPr>
        <w:tabs>
          <w:tab w:val="num" w:pos="0"/>
        </w:tabs>
        <w:jc w:val="both"/>
        <w:rPr>
          <w:rFonts w:cs="Arial"/>
        </w:rPr>
      </w:pPr>
    </w:p>
    <w:p w:rsidR="00933473" w:rsidRPr="00160AF7" w:rsidRDefault="00933473" w:rsidP="00933473">
      <w:pPr>
        <w:tabs>
          <w:tab w:val="num" w:pos="0"/>
        </w:tabs>
        <w:jc w:val="both"/>
        <w:rPr>
          <w:rFonts w:cs="Arial"/>
        </w:rPr>
      </w:pPr>
      <w:r w:rsidRPr="00160AF7">
        <w:rPr>
          <w:rFonts w:cs="Arial"/>
        </w:rPr>
        <w:t>Gospodarski subjekt lahko dokazila o neobstoju razlogov za izključitev in dokazila o izpolnjevanju pogojev za sodelovanje predloži tudi sam. Naročnik si pridržuje pravico do preveritve verodostojnosti predloženih dokazil pri izdajatelju teh.</w:t>
      </w:r>
    </w:p>
    <w:p w:rsidR="00933473" w:rsidRPr="00160AF7" w:rsidRDefault="00933473" w:rsidP="00933473">
      <w:pPr>
        <w:tabs>
          <w:tab w:val="num" w:pos="0"/>
        </w:tabs>
        <w:jc w:val="both"/>
        <w:rPr>
          <w:rFonts w:cs="Arial"/>
        </w:rPr>
      </w:pPr>
    </w:p>
    <w:p w:rsidR="00933473" w:rsidRPr="00160AF7" w:rsidRDefault="00933473" w:rsidP="00933473">
      <w:pPr>
        <w:tabs>
          <w:tab w:val="num" w:pos="0"/>
        </w:tabs>
        <w:jc w:val="both"/>
        <w:rPr>
          <w:rFonts w:cs="Arial"/>
        </w:rPr>
      </w:pPr>
      <w:r w:rsidRPr="00160AF7">
        <w:rPr>
          <w:rFonts w:cs="Arial"/>
        </w:rPr>
        <w:t>V kolikor ponudnik nima sedeža v Republiki Sloveniji in ne more pridobiti in predložiti zahtevnih dokumentov, ker država v kateri ima ponudnik svoj sedež ne izdaja takšnih dokumentov, jih je mogoče nadomestiti z zapriseženo izjavo, dano pred pristojnim sodnim ali upravnim organom, notarjem ali pred pristojno poklicno ali trgovinsko organizacijo v matični državi te osebe ali v državi, v kateri ima ponudnik sedež.</w:t>
      </w:r>
    </w:p>
    <w:p w:rsidR="00933473" w:rsidRPr="00160AF7" w:rsidRDefault="00933473" w:rsidP="00933473">
      <w:pPr>
        <w:pStyle w:val="Odstavekseznama"/>
        <w:tabs>
          <w:tab w:val="num" w:pos="0"/>
        </w:tabs>
        <w:ind w:left="0"/>
        <w:rPr>
          <w:rFonts w:ascii="Arial" w:hAnsi="Arial" w:cs="Arial"/>
        </w:rPr>
      </w:pPr>
    </w:p>
    <w:p w:rsidR="00933473" w:rsidRPr="00933473" w:rsidRDefault="001E102E" w:rsidP="00933473">
      <w:pPr>
        <w:widowControl w:val="0"/>
        <w:numPr>
          <w:ilvl w:val="0"/>
          <w:numId w:val="24"/>
        </w:numPr>
        <w:ind w:left="360"/>
        <w:rPr>
          <w:rFonts w:cs="Arial"/>
          <w:b/>
        </w:rPr>
      </w:pPr>
      <w:r>
        <w:rPr>
          <w:rFonts w:cs="Arial"/>
          <w:b/>
        </w:rPr>
        <w:t>RAZLOGI ZA IZKLJUČITEV</w:t>
      </w:r>
      <w:r w:rsidR="00933473" w:rsidRPr="00933473">
        <w:rPr>
          <w:rFonts w:cs="Arial"/>
          <w:b/>
        </w:rPr>
        <w:t>:</w:t>
      </w:r>
    </w:p>
    <w:p w:rsidR="00933473" w:rsidRPr="00160AF7" w:rsidRDefault="00933473" w:rsidP="00933473">
      <w:pPr>
        <w:tabs>
          <w:tab w:val="num" w:pos="0"/>
        </w:tabs>
        <w:jc w:val="both"/>
        <w:rPr>
          <w:rFonts w:cs="Arial"/>
        </w:rPr>
      </w:pPr>
      <w:r w:rsidRPr="00160AF7">
        <w:rPr>
          <w:rFonts w:cs="Arial"/>
        </w:rPr>
        <w:t>Naročnik bo iz postopka javnega naročanja izključil ponudnika, če:</w:t>
      </w:r>
    </w:p>
    <w:p w:rsidR="00933473" w:rsidRPr="00E91AEF" w:rsidRDefault="00933473" w:rsidP="00933473">
      <w:pPr>
        <w:tabs>
          <w:tab w:val="num" w:pos="0"/>
        </w:tabs>
        <w:jc w:val="both"/>
        <w:rPr>
          <w:rFonts w:cs="Arial"/>
        </w:rPr>
      </w:pPr>
    </w:p>
    <w:p w:rsidR="00933473" w:rsidRPr="00160AF7" w:rsidRDefault="00933473" w:rsidP="001E102E">
      <w:pPr>
        <w:pStyle w:val="Telobesedila"/>
        <w:numPr>
          <w:ilvl w:val="0"/>
          <w:numId w:val="25"/>
        </w:numPr>
        <w:spacing w:after="0"/>
        <w:jc w:val="both"/>
        <w:rPr>
          <w:rFonts w:cs="Arial"/>
          <w:b/>
        </w:rPr>
      </w:pPr>
      <w:r w:rsidRPr="00160AF7">
        <w:rPr>
          <w:rFonts w:cs="Arial"/>
          <w:b/>
        </w:rPr>
        <w:t>Razlogi, povezani s kazenskimi obsodbami</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je bila proti ponudniku ali osebi, ki je članica upravnega, vodstvenega ali nadzornega organa tega subjekta ali  ki ima pooblastila za njegovo zastopanje ali odločanje ali nadzor v njem, izrečena pravnomočna sodba, ki ima elemente kaznivih dejanj iz 1. odstavka 75. člena ZJN-3 (Člen 57(1) Direktive 2014/24/EU je v nacionalno zakonodajo prenesen s prvim odstavkom 75. člena ZJN-3 in določa dejanja, ki imajo elemente naštetih 43 kaznivih dejanj po KZ-1. Razlogi v ESPD, ki jih določa člen 57(1) Direktive 2014/24/EU, in zadnji - 7. razlog, ki je določen v nacionalni zakonodaji, v celoti zajema razlog za izključitev, kot je opredeljen v prvem odstavku 75. člena ZJN-3 in ki se uporablja pri oddaji javnega naročila):</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terorizem (108.člen KZ-1),</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financiranje terorizma (109.člen KZ-1),</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ščuvanje in javno poveličevanje terorističnih dejanj (110.člen KZ-1),</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novačenje in usposabljanje za terorizem (111.člen KZ-1),</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spravljanje v suženjsko razmerje (112.člen KZ-1),</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trgovina z ljudmi (113.člen KZ-1),</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sprejemanje podkupnine pri volitvah (157.člen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kršitev temeljnih pravic delavcev (196.člen KZ-1),</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goljufija (211.člen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lastRenderedPageBreak/>
        <w:t xml:space="preserve">protipravno omejevanje konkurence (225.člen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povzročitev stečaja z goljufijo ali nevestnim poslovanjem (226.člen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oškodovanje upnikov (227.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poslovna goljufija (228.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goljufija na škodo Evropske unije (229.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preslepitev pri pridobitvi in uporabi posojila ali ugodnosti (230.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preslepitev pri poslovanju z vrednostnimi papirji (231.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preslepitev kupcev (232.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neupravičena uporaba tuje oznake ali modela (233.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neupravičena uporaba tujega izuma ali topografije (234.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ponareditev ali uničenje poslovnih listin (235.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izdaja in neupravičena pridobitev poslovne skrivnosti (236.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zloraba informacijskega sistema (237.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zloraba notranje informacije (238.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zloraba trga finančnih instrumentov (239.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zloraba položaja ali zaupanja pri gospodarski dejavnosti (240.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nedovoljeno sprejemanje daril (241.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nedovoljeno dajanje daril (242.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ponarejanje denarja (243.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ponarejanje in uporaba ponarejenih vrednotnic ali vrednostnih papirjev (244. člen KZ-1),</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pranje denarja (245.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zloraba negotovinskega plačilnega sredstva (246.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uporaba ponarejenega negotovinskega plačilnega sredstva (247.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izdelava, pridobitev in odtujitev pripomočkov za ponarejanje (248.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davčna zatajitev (249.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tihotapstvo (250.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zloraba uradnega položaja ali uradnih pravic (257.člen KZ-1),</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oškodovanje javnih sredstev (257.a člen KZ-1),</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izdaja tajnih podatkov (260.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jemanje podkupnine (261.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dajanje podkupnine (262.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sprejemanje koristi za nezakonito posredovanje (263.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dajanje daril za nezakonito posredovanje (264. člen KZ-1), </w:t>
      </w:r>
    </w:p>
    <w:p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hudodelsko združevanje (294. člen KZ-1). </w:t>
      </w:r>
    </w:p>
    <w:p w:rsidR="00933473" w:rsidRPr="00160AF7" w:rsidRDefault="00933473" w:rsidP="00933473">
      <w:pPr>
        <w:pStyle w:val="Telobesedila"/>
        <w:tabs>
          <w:tab w:val="num" w:pos="0"/>
        </w:tabs>
        <w:spacing w:after="0"/>
        <w:jc w:val="both"/>
        <w:rPr>
          <w:rFonts w:cs="Arial"/>
        </w:rPr>
      </w:pPr>
    </w:p>
    <w:p w:rsidR="00933473" w:rsidRPr="00160AF7" w:rsidRDefault="00933473" w:rsidP="00933473">
      <w:pPr>
        <w:tabs>
          <w:tab w:val="num" w:pos="0"/>
        </w:tabs>
        <w:jc w:val="both"/>
        <w:rPr>
          <w:rFonts w:cs="Arial"/>
          <w:b/>
          <w:i/>
        </w:rPr>
      </w:pPr>
      <w:r w:rsidRPr="00160AF7">
        <w:rPr>
          <w:rFonts w:cs="Arial"/>
        </w:rPr>
        <w:t>DOKAZILO:</w:t>
      </w:r>
      <w:r w:rsidRPr="00160AF7">
        <w:rPr>
          <w:rFonts w:cs="Arial"/>
        </w:rPr>
        <w:tab/>
      </w:r>
      <w:r w:rsidRPr="00160AF7">
        <w:rPr>
          <w:rFonts w:cs="Arial"/>
          <w:b/>
          <w:i/>
        </w:rPr>
        <w:t>Izpolnjen obrazec ESPD (v »Del III: Razlogi za izključitev, Oddelek A</w:t>
      </w:r>
      <w:r w:rsidR="001E102E">
        <w:rPr>
          <w:rFonts w:cs="Arial"/>
          <w:b/>
          <w:i/>
        </w:rPr>
        <w:t>.</w:t>
      </w:r>
      <w:r w:rsidRPr="00160AF7">
        <w:rPr>
          <w:rFonts w:cs="Arial"/>
          <w:b/>
          <w:i/>
        </w:rPr>
        <w:t xml:space="preserve"> Razlogi, povezani s kazenskimi obsodbami«) za vse gospodarske subjekte v ponudbi.</w:t>
      </w:r>
    </w:p>
    <w:p w:rsidR="00933473" w:rsidRPr="00C60411" w:rsidRDefault="00933473" w:rsidP="00933473">
      <w:pPr>
        <w:tabs>
          <w:tab w:val="num" w:pos="0"/>
          <w:tab w:val="left" w:pos="887"/>
        </w:tabs>
        <w:jc w:val="both"/>
        <w:rPr>
          <w:rFonts w:cs="Arial"/>
        </w:rPr>
      </w:pPr>
    </w:p>
    <w:p w:rsidR="00933473" w:rsidRPr="00EE157E" w:rsidRDefault="00933473" w:rsidP="00933473">
      <w:pPr>
        <w:tabs>
          <w:tab w:val="num" w:pos="0"/>
          <w:tab w:val="left" w:pos="887"/>
        </w:tabs>
        <w:jc w:val="both"/>
        <w:rPr>
          <w:rFonts w:cs="Arial"/>
        </w:rPr>
      </w:pPr>
      <w:r w:rsidRPr="00EE157E">
        <w:rPr>
          <w:rFonts w:cs="Arial"/>
        </w:rPr>
        <w:t>Ponudnik lahko potrdila Ministrstva za pravosodje (za slovenska podjetja) oz. druge ustrezne institucije iz kazenske evidence fizičnih / pravnih oseb priloži sam. V kolikor ponudnik s potrdili ne razpolaga, prosimo za predložitev podpisanih izjav za pridobi</w:t>
      </w:r>
      <w:r w:rsidR="00131B74">
        <w:rPr>
          <w:rFonts w:cs="Arial"/>
        </w:rPr>
        <w:t>tev podatkov (obrazec OBR – 2.07 in OBR – 2.08</w:t>
      </w:r>
      <w:r w:rsidRPr="00EE157E">
        <w:rPr>
          <w:rFonts w:cs="Arial"/>
        </w:rPr>
        <w:t xml:space="preserve">), kar bo pospešilo izbirni postopek naročila. </w:t>
      </w:r>
    </w:p>
    <w:p w:rsidR="00933473" w:rsidRPr="00160AF7" w:rsidRDefault="00933473" w:rsidP="00933473">
      <w:pPr>
        <w:tabs>
          <w:tab w:val="num" w:pos="0"/>
          <w:tab w:val="left" w:pos="887"/>
        </w:tabs>
        <w:jc w:val="both"/>
        <w:rPr>
          <w:rFonts w:cs="Arial"/>
        </w:rPr>
      </w:pPr>
    </w:p>
    <w:p w:rsidR="00933473" w:rsidRPr="00160AF7" w:rsidRDefault="00933473" w:rsidP="001E102E">
      <w:pPr>
        <w:pStyle w:val="Telobesedila"/>
        <w:numPr>
          <w:ilvl w:val="0"/>
          <w:numId w:val="25"/>
        </w:numPr>
        <w:spacing w:after="0"/>
        <w:jc w:val="both"/>
        <w:rPr>
          <w:rFonts w:cs="Arial"/>
          <w:b/>
        </w:rPr>
      </w:pPr>
      <w:r w:rsidRPr="00160AF7">
        <w:rPr>
          <w:rFonts w:cs="Arial"/>
          <w:b/>
        </w:rPr>
        <w:t>Razlogi, povezani s plačilom davkov ali prispevkom za socialno varnost</w:t>
      </w:r>
    </w:p>
    <w:p w:rsidR="00933473" w:rsidRPr="005526AA" w:rsidRDefault="00933473" w:rsidP="00933473">
      <w:pPr>
        <w:pStyle w:val="Telobesedila"/>
        <w:numPr>
          <w:ilvl w:val="0"/>
          <w:numId w:val="23"/>
        </w:numPr>
        <w:tabs>
          <w:tab w:val="num" w:pos="0"/>
        </w:tabs>
        <w:spacing w:after="0"/>
        <w:jc w:val="both"/>
        <w:rPr>
          <w:rFonts w:eastAsia="Calibri" w:cs="Arial"/>
          <w:lang w:eastAsia="en-US"/>
        </w:rPr>
      </w:pPr>
      <w:r w:rsidRPr="005526AA">
        <w:rPr>
          <w:rFonts w:eastAsia="Calibri" w:cs="Arial"/>
          <w:lang w:eastAsia="en-US"/>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rsidR="00933473" w:rsidRPr="00840C25" w:rsidRDefault="00933473" w:rsidP="00933473">
      <w:pPr>
        <w:pStyle w:val="Telobesedila"/>
        <w:spacing w:after="0"/>
        <w:jc w:val="both"/>
        <w:rPr>
          <w:rFonts w:cs="Arial"/>
        </w:rPr>
      </w:pPr>
    </w:p>
    <w:p w:rsidR="00933473" w:rsidRPr="00160AF7" w:rsidRDefault="00933473" w:rsidP="00933473">
      <w:pPr>
        <w:tabs>
          <w:tab w:val="num" w:pos="0"/>
        </w:tabs>
        <w:jc w:val="both"/>
        <w:rPr>
          <w:rFonts w:cs="Arial"/>
          <w:b/>
          <w:i/>
        </w:rPr>
      </w:pPr>
      <w:r w:rsidRPr="00160AF7">
        <w:rPr>
          <w:rFonts w:cs="Arial"/>
        </w:rPr>
        <w:lastRenderedPageBreak/>
        <w:t>DOKAZILO:</w:t>
      </w:r>
      <w:r w:rsidRPr="00160AF7">
        <w:rPr>
          <w:rFonts w:cs="Arial"/>
        </w:rPr>
        <w:tab/>
      </w:r>
      <w:r w:rsidRPr="00160AF7">
        <w:rPr>
          <w:rFonts w:cs="Arial"/>
          <w:b/>
          <w:i/>
        </w:rPr>
        <w:t>Izpolnjen obrazec ESPD (v »Del III: Razlogi za izključitev, Oddelek B</w:t>
      </w:r>
      <w:r w:rsidR="001E102E">
        <w:rPr>
          <w:rFonts w:cs="Arial"/>
          <w:b/>
          <w:i/>
        </w:rPr>
        <w:t>.</w:t>
      </w:r>
      <w:r w:rsidRPr="00160AF7">
        <w:rPr>
          <w:rFonts w:cs="Arial"/>
          <w:b/>
          <w:i/>
        </w:rPr>
        <w:t xml:space="preserve"> Razlogi, povezani s plačilom davkov ali prispevkov za socialno varnost«) za vse gospodarske subjekte v ponudbi.</w:t>
      </w:r>
    </w:p>
    <w:p w:rsidR="00933473" w:rsidRPr="00160AF7" w:rsidRDefault="00933473" w:rsidP="00933473">
      <w:pPr>
        <w:tabs>
          <w:tab w:val="num" w:pos="0"/>
          <w:tab w:val="left" w:pos="887"/>
        </w:tabs>
        <w:jc w:val="both"/>
        <w:rPr>
          <w:rFonts w:cs="Arial"/>
        </w:rPr>
      </w:pPr>
    </w:p>
    <w:p w:rsidR="00933473" w:rsidRPr="00C60411" w:rsidRDefault="00933473" w:rsidP="00933473">
      <w:pPr>
        <w:tabs>
          <w:tab w:val="num" w:pos="0"/>
          <w:tab w:val="left" w:pos="887"/>
        </w:tabs>
        <w:jc w:val="both"/>
        <w:rPr>
          <w:rFonts w:cs="Arial"/>
        </w:rPr>
      </w:pPr>
      <w:r w:rsidRPr="00C60411">
        <w:rPr>
          <w:rFonts w:cs="Arial"/>
        </w:rPr>
        <w:t>Ponudnik lahko predloži potrdilo Finančne uprave Republike Slovenije (za slovenska podjetja) oz. druge ustrezne institucije. V kolikor ponudnik s potrdilom ne razpolaga, prosimo za predložitev podpisanih izjav za pridobitev podatkov (obrazec OBR – 2.0</w:t>
      </w:r>
      <w:r w:rsidR="00131B74">
        <w:rPr>
          <w:rFonts w:cs="Arial"/>
        </w:rPr>
        <w:t>7</w:t>
      </w:r>
      <w:r w:rsidRPr="00C60411">
        <w:rPr>
          <w:rFonts w:cs="Arial"/>
        </w:rPr>
        <w:t>), kar bo pospešilo izbirni postopek naročila.</w:t>
      </w:r>
    </w:p>
    <w:p w:rsidR="00933473" w:rsidRDefault="00933473" w:rsidP="00933473">
      <w:pPr>
        <w:tabs>
          <w:tab w:val="num" w:pos="0"/>
          <w:tab w:val="left" w:pos="887"/>
        </w:tabs>
        <w:jc w:val="both"/>
        <w:rPr>
          <w:rFonts w:cs="Arial"/>
        </w:rPr>
      </w:pPr>
    </w:p>
    <w:p w:rsidR="00933473" w:rsidRPr="00160AF7" w:rsidRDefault="00933473" w:rsidP="001E102E">
      <w:pPr>
        <w:pStyle w:val="Telobesedila"/>
        <w:numPr>
          <w:ilvl w:val="0"/>
          <w:numId w:val="25"/>
        </w:numPr>
        <w:spacing w:after="0"/>
        <w:jc w:val="both"/>
        <w:rPr>
          <w:rFonts w:cs="Arial"/>
          <w:b/>
        </w:rPr>
      </w:pPr>
      <w:r w:rsidRPr="00160AF7">
        <w:rPr>
          <w:rFonts w:cs="Arial"/>
          <w:b/>
        </w:rPr>
        <w:t>Razlogi, povezani z insolventnostjo, nasprotjem interesov ali kršitvijo poklicnih pravil</w:t>
      </w:r>
    </w:p>
    <w:p w:rsidR="00933473" w:rsidRPr="005526AA" w:rsidRDefault="00933473" w:rsidP="00933473">
      <w:pPr>
        <w:pStyle w:val="Telobesedila"/>
        <w:numPr>
          <w:ilvl w:val="0"/>
          <w:numId w:val="23"/>
        </w:numPr>
        <w:tabs>
          <w:tab w:val="num" w:pos="0"/>
        </w:tabs>
        <w:spacing w:after="0"/>
        <w:jc w:val="both"/>
        <w:rPr>
          <w:rFonts w:eastAsia="Calibri" w:cs="Arial"/>
          <w:lang w:eastAsia="en-US"/>
        </w:rPr>
      </w:pPr>
      <w:r w:rsidRPr="005526AA">
        <w:rPr>
          <w:rFonts w:eastAsia="Calibri" w:cs="Arial"/>
          <w:lang w:eastAsia="en-US"/>
        </w:rPr>
        <w:t>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pravnimi posledicami;</w:t>
      </w:r>
    </w:p>
    <w:p w:rsidR="00933473" w:rsidRPr="00840C25" w:rsidRDefault="00933473" w:rsidP="00933473">
      <w:pPr>
        <w:pStyle w:val="Telobesedila"/>
        <w:spacing w:after="0"/>
        <w:jc w:val="both"/>
        <w:rPr>
          <w:rFonts w:cs="Arial"/>
        </w:rPr>
      </w:pPr>
    </w:p>
    <w:p w:rsidR="00933473" w:rsidRPr="00160AF7" w:rsidRDefault="00933473" w:rsidP="00933473">
      <w:pPr>
        <w:pStyle w:val="Telobesedila2"/>
        <w:spacing w:after="0" w:line="240" w:lineRule="auto"/>
        <w:jc w:val="both"/>
        <w:rPr>
          <w:rFonts w:cs="Arial"/>
          <w:b/>
          <w:i/>
        </w:rPr>
      </w:pPr>
      <w:r w:rsidRPr="00160AF7">
        <w:rPr>
          <w:rFonts w:cs="Arial"/>
        </w:rPr>
        <w:t>DOKAZILO:</w:t>
      </w:r>
      <w:r w:rsidRPr="00160AF7">
        <w:rPr>
          <w:rFonts w:cs="Arial"/>
        </w:rPr>
        <w:tab/>
      </w:r>
      <w:r w:rsidRPr="00160AF7">
        <w:rPr>
          <w:rFonts w:cs="Arial"/>
          <w:b/>
          <w:i/>
        </w:rPr>
        <w:t>Izpolnjen obrazec ESPD (v »Del III: Razlogi za izključitev, Oddelek C</w:t>
      </w:r>
      <w:r w:rsidR="001E102E">
        <w:rPr>
          <w:rFonts w:cs="Arial"/>
          <w:b/>
          <w:i/>
        </w:rPr>
        <w:t>.</w:t>
      </w:r>
      <w:r w:rsidRPr="00160AF7">
        <w:rPr>
          <w:rFonts w:cs="Arial"/>
          <w:b/>
          <w:i/>
          <w:color w:val="333333"/>
        </w:rPr>
        <w:t xml:space="preserve"> </w:t>
      </w:r>
      <w:r w:rsidRPr="004E6E19">
        <w:rPr>
          <w:rFonts w:cs="Arial"/>
          <w:b/>
          <w:i/>
        </w:rPr>
        <w:t>Razlogi, povezani z insolventnostjo, nasprotjem interesov ali kršitvijo poklicnih pravil«)</w:t>
      </w:r>
      <w:r w:rsidRPr="00160AF7">
        <w:rPr>
          <w:rFonts w:cs="Arial"/>
          <w:b/>
          <w:i/>
          <w:color w:val="333333"/>
        </w:rPr>
        <w:t xml:space="preserve"> </w:t>
      </w:r>
      <w:r w:rsidRPr="00160AF7">
        <w:rPr>
          <w:rFonts w:cs="Arial"/>
          <w:b/>
          <w:i/>
        </w:rPr>
        <w:t>za vse gospodarske subjekte v ponudbi.</w:t>
      </w:r>
    </w:p>
    <w:p w:rsidR="00933473" w:rsidRDefault="00933473" w:rsidP="00933473">
      <w:pPr>
        <w:tabs>
          <w:tab w:val="num" w:pos="0"/>
          <w:tab w:val="left" w:pos="887"/>
        </w:tabs>
        <w:jc w:val="both"/>
        <w:rPr>
          <w:rFonts w:cs="Arial"/>
        </w:rPr>
      </w:pPr>
    </w:p>
    <w:p w:rsidR="00933473" w:rsidRPr="00C60411" w:rsidRDefault="00933473" w:rsidP="00933473">
      <w:pPr>
        <w:tabs>
          <w:tab w:val="num" w:pos="0"/>
          <w:tab w:val="left" w:pos="887"/>
        </w:tabs>
        <w:jc w:val="both"/>
        <w:rPr>
          <w:rFonts w:cs="Arial"/>
        </w:rPr>
      </w:pPr>
      <w:r w:rsidRPr="00C60411">
        <w:rPr>
          <w:rFonts w:cs="Arial"/>
        </w:rPr>
        <w:t>Ponudnik lahko potrdila Okrožnega sodišča (za slovenska podjetja) oz. druge ustrezne institucije predloži sam. V kolikor ponudnik s potrdilom ne razpolaga, prosimo za predložitev podpisanih izjav za pridobitev podatkov (obrazec OBR – 2.0</w:t>
      </w:r>
      <w:r w:rsidR="00131B74">
        <w:rPr>
          <w:rFonts w:cs="Arial"/>
        </w:rPr>
        <w:t>7</w:t>
      </w:r>
      <w:r w:rsidRPr="00C60411">
        <w:rPr>
          <w:rFonts w:cs="Arial"/>
        </w:rPr>
        <w:t>), kar bo pospešilo izbirni postopek naročila.</w:t>
      </w:r>
    </w:p>
    <w:p w:rsidR="00933473" w:rsidRPr="00160AF7" w:rsidRDefault="00933473" w:rsidP="00933473">
      <w:pPr>
        <w:tabs>
          <w:tab w:val="num" w:pos="0"/>
        </w:tabs>
        <w:spacing w:line="276" w:lineRule="auto"/>
        <w:jc w:val="both"/>
        <w:rPr>
          <w:rFonts w:cs="Arial"/>
          <w:lang w:eastAsia="en-US"/>
        </w:rPr>
      </w:pPr>
    </w:p>
    <w:p w:rsidR="00933473" w:rsidRPr="005526AA" w:rsidRDefault="00933473" w:rsidP="00933473">
      <w:pPr>
        <w:pStyle w:val="Telobesedila"/>
        <w:numPr>
          <w:ilvl w:val="0"/>
          <w:numId w:val="23"/>
        </w:numPr>
        <w:tabs>
          <w:tab w:val="num" w:pos="0"/>
        </w:tabs>
        <w:spacing w:after="0"/>
        <w:jc w:val="both"/>
        <w:rPr>
          <w:rFonts w:eastAsia="Calibri" w:cs="Arial"/>
          <w:lang w:eastAsia="en-US"/>
        </w:rPr>
      </w:pPr>
      <w:r w:rsidRPr="005526AA">
        <w:rPr>
          <w:rFonts w:eastAsia="Calibri" w:cs="Arial"/>
          <w:lang w:eastAsia="en-US"/>
        </w:rPr>
        <w:t>je gospodarski subjekt na kakršen koli način kršil svoje obveznosti na področju socialnega prava;</w:t>
      </w:r>
    </w:p>
    <w:p w:rsidR="00933473" w:rsidRPr="005526AA" w:rsidRDefault="00933473" w:rsidP="00933473">
      <w:pPr>
        <w:pStyle w:val="Telobesedila"/>
        <w:numPr>
          <w:ilvl w:val="0"/>
          <w:numId w:val="23"/>
        </w:numPr>
        <w:tabs>
          <w:tab w:val="num" w:pos="0"/>
        </w:tabs>
        <w:spacing w:after="0"/>
        <w:jc w:val="both"/>
        <w:rPr>
          <w:rFonts w:eastAsia="Calibri" w:cs="Arial"/>
          <w:lang w:eastAsia="en-US"/>
        </w:rPr>
      </w:pPr>
      <w:r w:rsidRPr="005526AA">
        <w:rPr>
          <w:rFonts w:eastAsia="Calibri" w:cs="Arial"/>
          <w:lang w:eastAsia="en-US"/>
        </w:rPr>
        <w:t>je gospodarski subjekt kršil svoje obveznosti na področju delovnega prava;</w:t>
      </w:r>
    </w:p>
    <w:p w:rsidR="00933473" w:rsidRPr="005526AA" w:rsidRDefault="00933473" w:rsidP="00933473">
      <w:pPr>
        <w:pStyle w:val="Telobesedila"/>
        <w:numPr>
          <w:ilvl w:val="0"/>
          <w:numId w:val="23"/>
        </w:numPr>
        <w:tabs>
          <w:tab w:val="num" w:pos="0"/>
        </w:tabs>
        <w:spacing w:after="0"/>
        <w:jc w:val="both"/>
        <w:rPr>
          <w:rFonts w:eastAsia="Calibri" w:cs="Arial"/>
          <w:lang w:eastAsia="en-US"/>
        </w:rPr>
      </w:pPr>
      <w:r w:rsidRPr="005526AA">
        <w:rPr>
          <w:rFonts w:eastAsia="Calibri" w:cs="Arial"/>
          <w:lang w:eastAsia="en-US"/>
        </w:rPr>
        <w:t>je ponudnik zagrešil hujšo kršitev poklicnih pravil, ki mu jo naročnik lahko z ustreznimi sredstvi izkaže in zaradi katere je omajana njegova integriteta;</w:t>
      </w:r>
    </w:p>
    <w:p w:rsidR="00933473" w:rsidRPr="005526AA" w:rsidRDefault="00933473" w:rsidP="00933473">
      <w:pPr>
        <w:pStyle w:val="Telobesedila"/>
        <w:numPr>
          <w:ilvl w:val="0"/>
          <w:numId w:val="23"/>
        </w:numPr>
        <w:tabs>
          <w:tab w:val="num" w:pos="0"/>
        </w:tabs>
        <w:spacing w:after="0"/>
        <w:jc w:val="both"/>
        <w:rPr>
          <w:rFonts w:eastAsia="Calibri" w:cs="Arial"/>
          <w:lang w:eastAsia="en-US"/>
        </w:rPr>
      </w:pPr>
      <w:r w:rsidRPr="005526AA">
        <w:rPr>
          <w:rFonts w:eastAsia="Calibri" w:cs="Arial"/>
          <w:lang w:eastAsia="en-US"/>
        </w:rPr>
        <w:t>je pri dajanju informacij, zahtevanih v skladu z določbami ZJN-3, v tem ali predhodnih postopkih namerno podal zavajajoče razlage ali teh informacije ni zagotovil.</w:t>
      </w:r>
    </w:p>
    <w:p w:rsidR="00933473" w:rsidRPr="000E492A" w:rsidRDefault="00933473" w:rsidP="00933473">
      <w:pPr>
        <w:pStyle w:val="Telobesedila"/>
        <w:spacing w:after="0"/>
        <w:jc w:val="both"/>
        <w:rPr>
          <w:rFonts w:cs="Arial"/>
        </w:rPr>
      </w:pPr>
    </w:p>
    <w:p w:rsidR="00933473" w:rsidRPr="00160AF7" w:rsidRDefault="00933473" w:rsidP="00933473">
      <w:pPr>
        <w:pStyle w:val="Telobesedila2"/>
        <w:tabs>
          <w:tab w:val="num" w:pos="0"/>
        </w:tabs>
        <w:spacing w:after="0" w:line="240" w:lineRule="auto"/>
        <w:jc w:val="both"/>
        <w:rPr>
          <w:rFonts w:cs="Arial"/>
          <w:b/>
          <w:i/>
        </w:rPr>
      </w:pPr>
      <w:r w:rsidRPr="00160AF7">
        <w:rPr>
          <w:rFonts w:cs="Arial"/>
        </w:rPr>
        <w:t>DOKAZILO:</w:t>
      </w:r>
      <w:r w:rsidRPr="00160AF7">
        <w:rPr>
          <w:rFonts w:cs="Arial"/>
        </w:rPr>
        <w:tab/>
      </w:r>
      <w:r w:rsidRPr="00160AF7">
        <w:rPr>
          <w:rFonts w:cs="Arial"/>
          <w:b/>
          <w:i/>
        </w:rPr>
        <w:t>Izpolnjen obrazec ESPD (v »Del III: Razlogi za izključitev, Oddelek C</w:t>
      </w:r>
      <w:r w:rsidR="001E102E">
        <w:rPr>
          <w:rFonts w:cs="Arial"/>
          <w:b/>
          <w:i/>
        </w:rPr>
        <w:t>.</w:t>
      </w:r>
      <w:r w:rsidRPr="00160AF7">
        <w:rPr>
          <w:rFonts w:cs="Arial"/>
          <w:b/>
          <w:i/>
          <w:color w:val="333333"/>
        </w:rPr>
        <w:t xml:space="preserve"> </w:t>
      </w:r>
      <w:r w:rsidRPr="000E492A">
        <w:rPr>
          <w:rFonts w:cs="Arial"/>
          <w:b/>
          <w:i/>
        </w:rPr>
        <w:t xml:space="preserve">Razlogi, povezani z insolventnostjo, nasprotjem interesov ali kršitvijo poklicnih pravil«) </w:t>
      </w:r>
      <w:r w:rsidRPr="00160AF7">
        <w:rPr>
          <w:rFonts w:cs="Arial"/>
          <w:b/>
          <w:i/>
        </w:rPr>
        <w:t>za vse gospodarske subjekte v ponudbi.</w:t>
      </w:r>
    </w:p>
    <w:p w:rsidR="00933473" w:rsidRPr="005A340A" w:rsidRDefault="00933473" w:rsidP="00933473">
      <w:pPr>
        <w:pStyle w:val="Telobesedila2"/>
        <w:tabs>
          <w:tab w:val="num" w:pos="0"/>
        </w:tabs>
        <w:spacing w:after="0" w:line="240" w:lineRule="auto"/>
        <w:jc w:val="both"/>
        <w:rPr>
          <w:rFonts w:cs="Arial"/>
        </w:rPr>
      </w:pPr>
    </w:p>
    <w:p w:rsidR="00933473" w:rsidRPr="001E17C1" w:rsidRDefault="00933473" w:rsidP="001E102E">
      <w:pPr>
        <w:pStyle w:val="Telobesedila"/>
        <w:numPr>
          <w:ilvl w:val="0"/>
          <w:numId w:val="25"/>
        </w:numPr>
        <w:spacing w:after="0"/>
        <w:jc w:val="both"/>
        <w:rPr>
          <w:rFonts w:cs="Arial"/>
          <w:b/>
        </w:rPr>
      </w:pPr>
      <w:r w:rsidRPr="001E17C1">
        <w:rPr>
          <w:rFonts w:cs="Arial"/>
          <w:b/>
        </w:rPr>
        <w:t>Nacionalni razlogi za izključitev</w:t>
      </w:r>
    </w:p>
    <w:p w:rsidR="00933473" w:rsidRPr="001E17C1" w:rsidRDefault="00933473" w:rsidP="00610EF3">
      <w:pPr>
        <w:pStyle w:val="Telobesedila"/>
        <w:numPr>
          <w:ilvl w:val="0"/>
          <w:numId w:val="23"/>
        </w:numPr>
        <w:tabs>
          <w:tab w:val="num" w:pos="0"/>
        </w:tabs>
        <w:spacing w:after="0"/>
        <w:jc w:val="both"/>
        <w:rPr>
          <w:rFonts w:eastAsia="Calibri" w:cs="Arial"/>
          <w:lang w:eastAsia="en-US"/>
        </w:rPr>
      </w:pPr>
      <w:r w:rsidRPr="001E17C1">
        <w:rPr>
          <w:rFonts w:eastAsia="Calibri" w:cs="Arial"/>
          <w:lang w:eastAsia="en-US"/>
        </w:rPr>
        <w:t>je na dan, ko poteče rok za oddajo ponudb ali prijav, izločen iz postopkov oddaje javnih naročil zaradi uvrstitve v evidenco gospodarskih subjektov z negativnimi referencami;</w:t>
      </w:r>
    </w:p>
    <w:p w:rsidR="00933473" w:rsidRPr="001E17C1" w:rsidRDefault="00933473" w:rsidP="00610EF3">
      <w:pPr>
        <w:pStyle w:val="Telobesedila"/>
        <w:numPr>
          <w:ilvl w:val="0"/>
          <w:numId w:val="23"/>
        </w:numPr>
        <w:tabs>
          <w:tab w:val="num" w:pos="0"/>
        </w:tabs>
        <w:spacing w:after="0"/>
        <w:jc w:val="both"/>
        <w:rPr>
          <w:rFonts w:eastAsia="Calibri" w:cs="Arial"/>
          <w:lang w:eastAsia="en-US"/>
        </w:rPr>
      </w:pPr>
      <w:r w:rsidRPr="001E17C1">
        <w:rPr>
          <w:rFonts w:eastAsia="Calibri" w:cs="Arial"/>
          <w:lang w:eastAsia="en-US"/>
        </w:rPr>
        <w:t>mu je bila v zadnjih treh letih pred potekom roka za oddajo ponudb izdana pravnomočna odločba pristojnega organa Republike Slovenije ali druge države članice ali tretje države, dvakrat izrečena globa zaradi prekrška v zvezi s plačilom za delo.</w:t>
      </w:r>
    </w:p>
    <w:p w:rsidR="00933473" w:rsidRPr="00160AF7" w:rsidRDefault="00933473" w:rsidP="00933473">
      <w:pPr>
        <w:pStyle w:val="Telobesedila2"/>
        <w:tabs>
          <w:tab w:val="num" w:pos="0"/>
        </w:tabs>
        <w:spacing w:after="0" w:line="240" w:lineRule="auto"/>
        <w:jc w:val="both"/>
        <w:rPr>
          <w:rFonts w:cs="Arial"/>
          <w:i/>
        </w:rPr>
      </w:pPr>
    </w:p>
    <w:p w:rsidR="00933473" w:rsidRPr="00160AF7" w:rsidRDefault="00933473" w:rsidP="00933473">
      <w:pPr>
        <w:pStyle w:val="Odstavekseznama"/>
        <w:tabs>
          <w:tab w:val="num" w:pos="0"/>
        </w:tabs>
        <w:ind w:left="0"/>
        <w:rPr>
          <w:rFonts w:ascii="Arial" w:hAnsi="Arial" w:cs="Arial"/>
          <w:b/>
          <w:i/>
        </w:rPr>
      </w:pPr>
      <w:r w:rsidRPr="00160AF7">
        <w:rPr>
          <w:rFonts w:ascii="Arial" w:hAnsi="Arial" w:cs="Arial"/>
        </w:rPr>
        <w:t>DOKAZILO:</w:t>
      </w:r>
      <w:r w:rsidRPr="00160AF7">
        <w:rPr>
          <w:rFonts w:ascii="Arial" w:hAnsi="Arial" w:cs="Arial"/>
        </w:rPr>
        <w:tab/>
      </w:r>
      <w:r w:rsidRPr="00160AF7">
        <w:rPr>
          <w:rFonts w:ascii="Arial" w:hAnsi="Arial" w:cs="Arial"/>
          <w:b/>
          <w:i/>
        </w:rPr>
        <w:t>Izpolnjen obrazec ESPD (v »Del III: Razlogi za izključitev, Oddelek D</w:t>
      </w:r>
      <w:r w:rsidR="001E102E">
        <w:rPr>
          <w:rFonts w:ascii="Arial" w:hAnsi="Arial" w:cs="Arial"/>
          <w:b/>
          <w:i/>
        </w:rPr>
        <w:t>.</w:t>
      </w:r>
      <w:r w:rsidRPr="00160AF7">
        <w:rPr>
          <w:rFonts w:ascii="Arial" w:hAnsi="Arial" w:cs="Arial"/>
          <w:b/>
          <w:i/>
        </w:rPr>
        <w:t xml:space="preserve"> Nacionalni razlogi za izključitev«) za vse gospodarske subjekte v ponudbi.</w:t>
      </w:r>
    </w:p>
    <w:p w:rsidR="00933473" w:rsidRPr="000E492A" w:rsidRDefault="00933473" w:rsidP="00933473">
      <w:pPr>
        <w:tabs>
          <w:tab w:val="num" w:pos="0"/>
          <w:tab w:val="left" w:pos="887"/>
        </w:tabs>
        <w:jc w:val="both"/>
        <w:rPr>
          <w:rFonts w:cs="Arial"/>
        </w:rPr>
      </w:pPr>
    </w:p>
    <w:p w:rsidR="00933473" w:rsidRPr="000E492A" w:rsidRDefault="00933473" w:rsidP="00933473">
      <w:pPr>
        <w:tabs>
          <w:tab w:val="num" w:pos="0"/>
          <w:tab w:val="left" w:pos="887"/>
        </w:tabs>
        <w:jc w:val="both"/>
        <w:rPr>
          <w:rFonts w:cs="Arial"/>
        </w:rPr>
      </w:pPr>
      <w:r w:rsidRPr="000E492A">
        <w:rPr>
          <w:rFonts w:cs="Arial"/>
        </w:rPr>
        <w:t>Ponudnik lahko potrdilo Ministrstva za pravosodje (za slovenska podjetja) oz. druge ustrezne institucije iz evidence pravnomočnih sodb oziroma sklepov o prekrških pravnih oseb priloži sam. V kolikor ponudnik s potrdilom ne razpolaga, prosimo za predložitev podpisanih izjav za pridobitev podatkov (obrazec OBR – 2.0</w:t>
      </w:r>
      <w:r w:rsidR="00131B74">
        <w:rPr>
          <w:rFonts w:cs="Arial"/>
        </w:rPr>
        <w:t>7</w:t>
      </w:r>
      <w:r w:rsidRPr="000E492A">
        <w:rPr>
          <w:rFonts w:cs="Arial"/>
        </w:rPr>
        <w:t>), kar bo pospešilo izbirni postopek naročila.</w:t>
      </w:r>
    </w:p>
    <w:p w:rsidR="00933473" w:rsidRPr="004D32E0" w:rsidRDefault="00933473" w:rsidP="00933473">
      <w:pPr>
        <w:tabs>
          <w:tab w:val="num" w:pos="0"/>
          <w:tab w:val="left" w:pos="887"/>
        </w:tabs>
        <w:jc w:val="both"/>
        <w:rPr>
          <w:rFonts w:cs="Arial"/>
        </w:rPr>
      </w:pPr>
    </w:p>
    <w:p w:rsidR="00933473" w:rsidRPr="00C04901" w:rsidRDefault="00933473" w:rsidP="00933473">
      <w:pPr>
        <w:widowControl w:val="0"/>
        <w:numPr>
          <w:ilvl w:val="0"/>
          <w:numId w:val="24"/>
        </w:numPr>
        <w:ind w:left="360"/>
        <w:rPr>
          <w:rFonts w:cs="Arial"/>
          <w:b/>
        </w:rPr>
      </w:pPr>
      <w:r w:rsidRPr="00C04901">
        <w:rPr>
          <w:rFonts w:cs="Arial"/>
          <w:b/>
        </w:rPr>
        <w:lastRenderedPageBreak/>
        <w:t>P</w:t>
      </w:r>
      <w:r w:rsidR="001E102E">
        <w:rPr>
          <w:rFonts w:cs="Arial"/>
          <w:b/>
        </w:rPr>
        <w:t>OGOJI ZA SODELOVANJE</w:t>
      </w:r>
      <w:r w:rsidRPr="00C04901">
        <w:rPr>
          <w:rFonts w:cs="Arial"/>
          <w:b/>
        </w:rPr>
        <w:t>:</w:t>
      </w:r>
    </w:p>
    <w:p w:rsidR="00933473" w:rsidRPr="00160AF7" w:rsidRDefault="00933473" w:rsidP="00933473">
      <w:pPr>
        <w:pStyle w:val="Telobesedila"/>
        <w:tabs>
          <w:tab w:val="num" w:pos="0"/>
        </w:tabs>
        <w:spacing w:after="0"/>
        <w:jc w:val="both"/>
        <w:rPr>
          <w:rFonts w:cs="Arial"/>
          <w:b/>
        </w:rPr>
      </w:pPr>
    </w:p>
    <w:p w:rsidR="00933473" w:rsidRPr="00160AF7" w:rsidRDefault="001E102E" w:rsidP="001E102E">
      <w:pPr>
        <w:pStyle w:val="Telobesedila"/>
        <w:numPr>
          <w:ilvl w:val="0"/>
          <w:numId w:val="26"/>
        </w:numPr>
        <w:spacing w:after="0"/>
        <w:jc w:val="both"/>
        <w:rPr>
          <w:rFonts w:cs="Arial"/>
          <w:b/>
        </w:rPr>
      </w:pPr>
      <w:r>
        <w:rPr>
          <w:rFonts w:cs="Arial"/>
          <w:b/>
        </w:rPr>
        <w:t>Ustreznost</w:t>
      </w:r>
    </w:p>
    <w:p w:rsidR="00E74752" w:rsidRPr="00160AF7" w:rsidRDefault="00933473" w:rsidP="00933473">
      <w:pPr>
        <w:widowControl w:val="0"/>
        <w:jc w:val="both"/>
        <w:rPr>
          <w:rFonts w:cs="Arial"/>
          <w:color w:val="000000"/>
        </w:rPr>
      </w:pPr>
      <w:r w:rsidRPr="00160AF7">
        <w:rPr>
          <w:rFonts w:cs="Arial"/>
          <w:color w:val="000000"/>
        </w:rPr>
        <w:t>Ponudnik mora imeti veljavno registracijo za opravljanje dejavnosti, ki je predmet naročila v skladu s predpisi in morebitna potrebna dovoljenja za opravljanje dejavnosti</w:t>
      </w:r>
      <w:r>
        <w:rPr>
          <w:rFonts w:cs="Arial"/>
          <w:color w:val="000000"/>
        </w:rPr>
        <w:t>.</w:t>
      </w:r>
    </w:p>
    <w:p w:rsidR="00C746D7" w:rsidRPr="00160AF7" w:rsidRDefault="00C746D7" w:rsidP="00933473">
      <w:pPr>
        <w:pStyle w:val="Telobesedila"/>
        <w:tabs>
          <w:tab w:val="num" w:pos="0"/>
        </w:tabs>
        <w:spacing w:after="0"/>
        <w:jc w:val="both"/>
        <w:rPr>
          <w:rFonts w:cs="Arial"/>
        </w:rPr>
      </w:pPr>
    </w:p>
    <w:p w:rsidR="00933473" w:rsidRPr="00160AF7" w:rsidRDefault="00933473" w:rsidP="00933473">
      <w:pPr>
        <w:pStyle w:val="Telobesedila2"/>
        <w:tabs>
          <w:tab w:val="num" w:pos="0"/>
        </w:tabs>
        <w:spacing w:after="0" w:line="240" w:lineRule="auto"/>
        <w:jc w:val="both"/>
        <w:rPr>
          <w:rFonts w:cs="Arial"/>
          <w:b/>
          <w:i/>
        </w:rPr>
      </w:pPr>
      <w:r w:rsidRPr="00160AF7">
        <w:rPr>
          <w:rFonts w:cs="Arial"/>
        </w:rPr>
        <w:t>DOKAZILO:</w:t>
      </w:r>
      <w:r w:rsidRPr="00160AF7">
        <w:rPr>
          <w:rFonts w:cs="Arial"/>
        </w:rPr>
        <w:tab/>
      </w:r>
      <w:r w:rsidRPr="00160AF7">
        <w:rPr>
          <w:rFonts w:cs="Arial"/>
          <w:b/>
          <w:i/>
        </w:rPr>
        <w:t>Izpolnjen obrazec ESPD (v »Del IV: Pogoji za sodelovanje,</w:t>
      </w:r>
      <w:r w:rsidRPr="000F414A">
        <w:rPr>
          <w:rFonts w:cs="Arial"/>
          <w:b/>
          <w:i/>
        </w:rPr>
        <w:t xml:space="preserve"> Oddelek A</w:t>
      </w:r>
      <w:r w:rsidR="001E102E">
        <w:rPr>
          <w:rFonts w:cs="Arial"/>
          <w:b/>
          <w:i/>
        </w:rPr>
        <w:t>.</w:t>
      </w:r>
      <w:r w:rsidRPr="000F414A">
        <w:rPr>
          <w:rFonts w:cs="Arial"/>
          <w:b/>
          <w:i/>
        </w:rPr>
        <w:t xml:space="preserve"> Ustreznost</w:t>
      </w:r>
      <w:r w:rsidRPr="00160AF7">
        <w:rPr>
          <w:rFonts w:cs="Arial"/>
          <w:b/>
          <w:i/>
        </w:rPr>
        <w:t>«</w:t>
      </w:r>
      <w:r w:rsidRPr="000F414A">
        <w:rPr>
          <w:rFonts w:cs="Arial"/>
          <w:b/>
          <w:i/>
        </w:rPr>
        <w:t>)</w:t>
      </w:r>
      <w:r w:rsidR="008C678D">
        <w:rPr>
          <w:rFonts w:cs="Arial"/>
          <w:b/>
          <w:i/>
        </w:rPr>
        <w:t xml:space="preserve"> </w:t>
      </w:r>
      <w:r w:rsidR="008C678D" w:rsidRPr="00160AF7">
        <w:rPr>
          <w:rFonts w:cs="Arial"/>
          <w:b/>
          <w:i/>
        </w:rPr>
        <w:t>vs</w:t>
      </w:r>
      <w:r w:rsidR="008C678D">
        <w:rPr>
          <w:rFonts w:cs="Arial"/>
          <w:b/>
          <w:i/>
        </w:rPr>
        <w:t>ak</w:t>
      </w:r>
      <w:r w:rsidR="008C678D" w:rsidRPr="00160AF7">
        <w:rPr>
          <w:rFonts w:cs="Arial"/>
          <w:b/>
          <w:i/>
        </w:rPr>
        <w:t xml:space="preserve"> gospodarsk</w:t>
      </w:r>
      <w:r w:rsidR="008C678D">
        <w:rPr>
          <w:rFonts w:cs="Arial"/>
          <w:b/>
          <w:i/>
        </w:rPr>
        <w:t>i</w:t>
      </w:r>
      <w:r w:rsidR="008C678D" w:rsidRPr="00160AF7">
        <w:rPr>
          <w:rFonts w:cs="Arial"/>
          <w:b/>
          <w:i/>
        </w:rPr>
        <w:t xml:space="preserve"> subjekt v ponudbi</w:t>
      </w:r>
      <w:r w:rsidR="008C678D">
        <w:rPr>
          <w:rFonts w:cs="Arial"/>
          <w:b/>
          <w:i/>
        </w:rPr>
        <w:t xml:space="preserve"> za dela, ki jih ponuja v sklopu skupne ponudbe</w:t>
      </w:r>
      <w:r w:rsidRPr="00160AF7">
        <w:rPr>
          <w:rFonts w:cs="Arial"/>
          <w:b/>
          <w:i/>
        </w:rPr>
        <w:t>.</w:t>
      </w:r>
    </w:p>
    <w:p w:rsidR="00933473" w:rsidRPr="00160AF7" w:rsidRDefault="00933473" w:rsidP="00933473">
      <w:pPr>
        <w:pStyle w:val="Telobesedila"/>
        <w:tabs>
          <w:tab w:val="num" w:pos="0"/>
        </w:tabs>
        <w:spacing w:after="0"/>
        <w:jc w:val="both"/>
        <w:rPr>
          <w:rFonts w:cs="Arial"/>
        </w:rPr>
      </w:pPr>
    </w:p>
    <w:p w:rsidR="00933473" w:rsidRPr="00160AF7" w:rsidRDefault="001E102E" w:rsidP="001E102E">
      <w:pPr>
        <w:pStyle w:val="Telobesedila"/>
        <w:numPr>
          <w:ilvl w:val="0"/>
          <w:numId w:val="26"/>
        </w:numPr>
        <w:spacing w:after="0"/>
        <w:jc w:val="both"/>
        <w:rPr>
          <w:rFonts w:cs="Arial"/>
          <w:b/>
        </w:rPr>
      </w:pPr>
      <w:r>
        <w:rPr>
          <w:rFonts w:cs="Arial"/>
          <w:b/>
        </w:rPr>
        <w:t>Ekonomski in finančni položaj</w:t>
      </w:r>
    </w:p>
    <w:p w:rsidR="00933473" w:rsidRPr="00160AF7" w:rsidRDefault="00933473" w:rsidP="00933473">
      <w:pPr>
        <w:pStyle w:val="Telobesedila"/>
        <w:tabs>
          <w:tab w:val="num" w:pos="0"/>
        </w:tabs>
        <w:spacing w:after="0"/>
        <w:jc w:val="both"/>
        <w:rPr>
          <w:rFonts w:cs="Arial"/>
        </w:rPr>
      </w:pPr>
      <w:r w:rsidRPr="00160AF7">
        <w:rPr>
          <w:rFonts w:cs="Arial"/>
        </w:rPr>
        <w:t xml:space="preserve">Sposoben ponudnik mora imeti ustrezno boniteto, ki jo naročnik zahteva kot pogoj za priznanje ekonomsko finančne sposobnosti za izvedbo predmetnega naročila. Ustrezna boniteta sodelujočih podjetij se ugotavlja po sistemu BASEL II: do vključno BBB. Naročnik bo upošteval bonitetne ocene bonitetnih institucij, ki bodo narejen po sistemu BASEL II in bodo primerljive ocene kot recimo: AJPES - do vključno SB7, </w:t>
      </w:r>
      <w:proofErr w:type="spellStart"/>
      <w:r w:rsidRPr="00160AF7">
        <w:rPr>
          <w:rFonts w:cs="Arial"/>
        </w:rPr>
        <w:t>Moody's</w:t>
      </w:r>
      <w:proofErr w:type="spellEnd"/>
      <w:r w:rsidRPr="00160AF7">
        <w:rPr>
          <w:rFonts w:cs="Arial"/>
        </w:rPr>
        <w:t xml:space="preserve"> – do vključno Baa3, S&amp;P – do vključno BBB-, </w:t>
      </w:r>
      <w:proofErr w:type="spellStart"/>
      <w:r w:rsidRPr="00160AF7">
        <w:rPr>
          <w:rFonts w:cs="Arial"/>
        </w:rPr>
        <w:t>Fitch</w:t>
      </w:r>
      <w:proofErr w:type="spellEnd"/>
      <w:r w:rsidRPr="00160AF7">
        <w:rPr>
          <w:rFonts w:cs="Arial"/>
        </w:rPr>
        <w:t xml:space="preserve"> – do vključno BBB-</w:t>
      </w:r>
      <w:r w:rsidR="008C678D">
        <w:rPr>
          <w:rFonts w:cs="Arial"/>
        </w:rPr>
        <w:t>.</w:t>
      </w:r>
    </w:p>
    <w:p w:rsidR="00C746D7" w:rsidRPr="00160AF7" w:rsidRDefault="00C746D7" w:rsidP="00933473">
      <w:pPr>
        <w:tabs>
          <w:tab w:val="num" w:pos="0"/>
        </w:tabs>
        <w:jc w:val="both"/>
        <w:rPr>
          <w:rFonts w:cs="Arial"/>
        </w:rPr>
      </w:pPr>
    </w:p>
    <w:p w:rsidR="009B2790" w:rsidRDefault="00933473" w:rsidP="008C678D">
      <w:pPr>
        <w:pStyle w:val="Telobesedila"/>
        <w:tabs>
          <w:tab w:val="num" w:pos="0"/>
        </w:tabs>
        <w:spacing w:after="0"/>
        <w:jc w:val="both"/>
        <w:rPr>
          <w:rFonts w:cs="Arial"/>
        </w:rPr>
      </w:pPr>
      <w:r w:rsidRPr="00160AF7">
        <w:rPr>
          <w:rFonts w:cs="Arial"/>
        </w:rPr>
        <w:t>DOKAZILO:</w:t>
      </w:r>
      <w:r w:rsidRPr="00160AF7">
        <w:rPr>
          <w:rFonts w:cs="Arial"/>
        </w:rPr>
        <w:tab/>
      </w:r>
      <w:r w:rsidRPr="00160AF7">
        <w:rPr>
          <w:rFonts w:cs="Arial"/>
          <w:b/>
          <w:i/>
        </w:rPr>
        <w:t>Izpolnjen obrazec ESPD (v »Del IV: Pogoji za sodelovanje,</w:t>
      </w:r>
      <w:r w:rsidRPr="00795647">
        <w:rPr>
          <w:rFonts w:cs="Arial"/>
          <w:b/>
          <w:i/>
        </w:rPr>
        <w:t xml:space="preserve"> Oddelek B</w:t>
      </w:r>
      <w:r w:rsidR="001E102E">
        <w:rPr>
          <w:rFonts w:cs="Arial"/>
          <w:b/>
          <w:i/>
        </w:rPr>
        <w:t>.</w:t>
      </w:r>
      <w:r w:rsidRPr="00795647">
        <w:rPr>
          <w:rFonts w:cs="Arial"/>
          <w:b/>
          <w:i/>
        </w:rPr>
        <w:t xml:space="preserve"> Ekonomski in finančni položaj</w:t>
      </w:r>
      <w:r w:rsidRPr="00160AF7">
        <w:rPr>
          <w:rFonts w:cs="Arial"/>
          <w:b/>
          <w:i/>
        </w:rPr>
        <w:t>«</w:t>
      </w:r>
      <w:r>
        <w:rPr>
          <w:rFonts w:cs="Arial"/>
          <w:b/>
          <w:i/>
        </w:rPr>
        <w:t>).</w:t>
      </w:r>
      <w:r>
        <w:rPr>
          <w:rFonts w:cs="Arial"/>
        </w:rPr>
        <w:t xml:space="preserve"> </w:t>
      </w:r>
      <w:r w:rsidRPr="008C678D">
        <w:rPr>
          <w:rFonts w:cs="Arial"/>
          <w:b/>
          <w:i/>
        </w:rPr>
        <w:t>V primeru skupne ponudbe morajo bonitetni pogoj izpolniti glavni ponudnik in vsi soponudniki. Za podizvajalce izkazovanje bonitetnega pogoja ni potrebno.</w:t>
      </w:r>
    </w:p>
    <w:p w:rsidR="009B2790" w:rsidRDefault="009B2790" w:rsidP="008C678D">
      <w:pPr>
        <w:pStyle w:val="Telobesedila"/>
        <w:tabs>
          <w:tab w:val="num" w:pos="0"/>
        </w:tabs>
        <w:spacing w:after="0"/>
        <w:jc w:val="both"/>
        <w:rPr>
          <w:rFonts w:cs="Arial"/>
        </w:rPr>
      </w:pPr>
    </w:p>
    <w:p w:rsidR="00933473" w:rsidRPr="008058DD" w:rsidRDefault="001E102E" w:rsidP="001E102E">
      <w:pPr>
        <w:pStyle w:val="Telobesedila"/>
        <w:numPr>
          <w:ilvl w:val="0"/>
          <w:numId w:val="26"/>
        </w:numPr>
        <w:tabs>
          <w:tab w:val="num" w:pos="0"/>
        </w:tabs>
        <w:spacing w:after="0"/>
        <w:jc w:val="both"/>
        <w:rPr>
          <w:rFonts w:cs="Arial"/>
          <w:b/>
        </w:rPr>
      </w:pPr>
      <w:r w:rsidRPr="001E102E">
        <w:rPr>
          <w:rFonts w:cs="Arial"/>
          <w:b/>
        </w:rPr>
        <w:t>Tehnična in strokovna sposobnost</w:t>
      </w:r>
    </w:p>
    <w:p w:rsidR="00CD652A" w:rsidRPr="00A23B4F" w:rsidRDefault="00933473" w:rsidP="00933473">
      <w:pPr>
        <w:pStyle w:val="Telobesedila"/>
        <w:tabs>
          <w:tab w:val="num" w:pos="0"/>
        </w:tabs>
        <w:spacing w:after="0"/>
        <w:jc w:val="both"/>
        <w:rPr>
          <w:rFonts w:cs="Arial"/>
        </w:rPr>
      </w:pPr>
      <w:r w:rsidRPr="00A23B4F">
        <w:rPr>
          <w:rFonts w:cs="Arial"/>
        </w:rPr>
        <w:t>Ponudnik mora za pravilnost ponudbe in za uspešno pridobitev posla izpolnjevati naslednje kompetenčne zahteve, ki jih ustrezno in v zahtevanem številu navede v za to predvidenih obrazcih, in sicer:</w:t>
      </w:r>
    </w:p>
    <w:p w:rsidR="00A23B4F" w:rsidRDefault="00A23B4F" w:rsidP="00BE50C8">
      <w:pPr>
        <w:widowControl w:val="0"/>
        <w:jc w:val="both"/>
        <w:rPr>
          <w:rFonts w:cs="Arial"/>
        </w:rPr>
      </w:pPr>
    </w:p>
    <w:p w:rsidR="00551E83" w:rsidRDefault="00551E83" w:rsidP="00551E83">
      <w:pPr>
        <w:pStyle w:val="Odstavekseznama"/>
        <w:numPr>
          <w:ilvl w:val="0"/>
          <w:numId w:val="30"/>
        </w:numPr>
        <w:autoSpaceDE w:val="0"/>
        <w:autoSpaceDN w:val="0"/>
        <w:adjustRightInd w:val="0"/>
        <w:spacing w:before="120" w:after="120"/>
        <w:rPr>
          <w:rFonts w:ascii="Arial-ItalicMT" w:hAnsi="Arial-ItalicMT" w:cs="Arial-ItalicMT"/>
          <w:iCs/>
        </w:rPr>
      </w:pPr>
      <w:r w:rsidRPr="00551E83">
        <w:rPr>
          <w:rFonts w:ascii="Arial" w:hAnsi="Arial" w:cs="Arial"/>
        </w:rPr>
        <w:t>Gospodarski subjekt mora imeti v petih (5) letih, šteto od datuma določenega za oddajo ponudb, najmanj eno (1) referenco za uspešno (strokovno pravilno, kvalitetno in v pogodbenem roku) izdelavo projektne dokumentacije (PGD ali PZI) za projekt s področja skladiščenja in manipulacije z gorivom Jet A-1, minimalna prostornina rezervoarja 5.000 m3 (novogradnja). IZLOČILNI POGOJ.</w:t>
      </w:r>
      <w:r w:rsidRPr="00551E83">
        <w:rPr>
          <w:rFonts w:ascii="Arial" w:hAnsi="Arial" w:cs="Arial"/>
        </w:rPr>
        <w:t xml:space="preserve"> </w:t>
      </w:r>
      <w:r w:rsidRPr="00551E83">
        <w:rPr>
          <w:rFonts w:ascii="Arial-ItalicMT" w:hAnsi="Arial-ItalicMT" w:cs="Arial-ItalicMT"/>
          <w:iCs/>
        </w:rPr>
        <w:t>Reference se izkazujejo v OBR-2.10</w:t>
      </w:r>
      <w:r w:rsidRPr="00551E83">
        <w:rPr>
          <w:rFonts w:ascii="Arial-ItalicMT" w:hAnsi="Arial-ItalicMT" w:cs="Arial-ItalicMT"/>
          <w:iCs/>
        </w:rPr>
        <w:t>;</w:t>
      </w:r>
    </w:p>
    <w:p w:rsidR="00551E83" w:rsidRPr="00551E83" w:rsidRDefault="00551E83" w:rsidP="00551E83">
      <w:pPr>
        <w:pStyle w:val="Odstavekseznama"/>
        <w:numPr>
          <w:ilvl w:val="0"/>
          <w:numId w:val="30"/>
        </w:numPr>
        <w:autoSpaceDE w:val="0"/>
        <w:autoSpaceDN w:val="0"/>
        <w:adjustRightInd w:val="0"/>
        <w:spacing w:before="120" w:after="120"/>
        <w:rPr>
          <w:rFonts w:ascii="Arial" w:hAnsi="Arial" w:cs="Arial"/>
          <w:iCs/>
        </w:rPr>
      </w:pPr>
      <w:r w:rsidRPr="00551E83">
        <w:rPr>
          <w:rFonts w:ascii="Arial" w:hAnsi="Arial" w:cs="Arial"/>
        </w:rPr>
        <w:t>V ponudbi mora ponudnik navesti naslednje strokovne kadre, ki imajo ustrezne reference in izpolnjujejo ostale zahteve naročnika, kot sledi:</w:t>
      </w:r>
    </w:p>
    <w:p w:rsidR="00551E83" w:rsidRPr="00551E83" w:rsidRDefault="00551E83" w:rsidP="00551E83">
      <w:pPr>
        <w:pStyle w:val="Odstavekseznama"/>
        <w:numPr>
          <w:ilvl w:val="0"/>
          <w:numId w:val="31"/>
        </w:numPr>
        <w:spacing w:before="120" w:after="120"/>
        <w:rPr>
          <w:rFonts w:ascii="Arial" w:hAnsi="Arial" w:cs="Arial"/>
        </w:rPr>
      </w:pPr>
      <w:r w:rsidRPr="00551E83">
        <w:rPr>
          <w:rFonts w:ascii="Arial" w:hAnsi="Arial" w:cs="Arial"/>
        </w:rPr>
        <w:t>Vodja projekta strojne stroke, ki se izkazuje s članstvom v nacionalnem strokovnem združenju, kot je na primer imenik IZS in je v petih letih pred datumom objave predmetnega javnega naročila izdelal vsaj eno projektno dokumentacijo PGD ali PZI za novogradnjo</w:t>
      </w:r>
      <w:r w:rsidRPr="00551E83">
        <w:t xml:space="preserve"> </w:t>
      </w:r>
      <w:r w:rsidRPr="00551E83">
        <w:rPr>
          <w:rFonts w:ascii="Arial" w:hAnsi="Arial" w:cs="Arial"/>
        </w:rPr>
        <w:t xml:space="preserve">za projekt s področja skladiščenja in manipulacije z gorivom Jet A-1, minimalna prostornina rezervoarja 5.000 m3 (novogradnja). </w:t>
      </w:r>
    </w:p>
    <w:p w:rsidR="00551E83" w:rsidRPr="00551E83" w:rsidRDefault="00551E83" w:rsidP="00551E83">
      <w:pPr>
        <w:pStyle w:val="Odstavekseznama"/>
        <w:numPr>
          <w:ilvl w:val="0"/>
          <w:numId w:val="31"/>
        </w:numPr>
        <w:spacing w:before="120" w:after="120"/>
        <w:rPr>
          <w:rFonts w:ascii="Arial" w:hAnsi="Arial" w:cs="Arial"/>
        </w:rPr>
      </w:pPr>
      <w:r w:rsidRPr="00551E83">
        <w:rPr>
          <w:rFonts w:ascii="Arial" w:hAnsi="Arial" w:cs="Arial"/>
        </w:rPr>
        <w:t>vsaj en(1) strokovnjak gradbene stroke, ki se izkazuje s članstvom v nacionalnem strokovnem združenju, kot je na primer imenik IZS in je v petih letih pred datumom objave predmetnega javnega naročila izdelal vsaj eno projektno dokumentacijo PGD ali PZI za novogradnjo</w:t>
      </w:r>
      <w:r w:rsidRPr="00551E83">
        <w:t xml:space="preserve"> </w:t>
      </w:r>
      <w:r w:rsidRPr="00551E83">
        <w:rPr>
          <w:rFonts w:ascii="Arial" w:hAnsi="Arial" w:cs="Arial"/>
        </w:rPr>
        <w:t>za projekt temeljenja rezervoarjev minimalna prostornina 5.000 m3</w:t>
      </w:r>
    </w:p>
    <w:p w:rsidR="00551E83" w:rsidRPr="00551E83" w:rsidRDefault="00551E83" w:rsidP="00551E83">
      <w:pPr>
        <w:pStyle w:val="Odstavekseznama"/>
        <w:numPr>
          <w:ilvl w:val="0"/>
          <w:numId w:val="31"/>
        </w:numPr>
        <w:spacing w:before="120" w:after="120"/>
        <w:rPr>
          <w:rFonts w:ascii="Arial" w:hAnsi="Arial" w:cs="Arial"/>
        </w:rPr>
      </w:pPr>
      <w:r w:rsidRPr="00551E83">
        <w:rPr>
          <w:rFonts w:ascii="Arial" w:hAnsi="Arial" w:cs="Arial"/>
        </w:rPr>
        <w:t xml:space="preserve">vsaj en (1) strokovnjak elektro stroke,  ki se izkazuje s članstvom v nacionalnem strokovnem združenju, kot je na primer imenik IZS in je v petih letih pred datumom objave predmetnega javnega naročila izdelal vsaj eno projektno </w:t>
      </w:r>
      <w:r w:rsidRPr="00551E83">
        <w:rPr>
          <w:rFonts w:ascii="Arial" w:hAnsi="Arial" w:cs="Arial"/>
        </w:rPr>
        <w:lastRenderedPageBreak/>
        <w:t>dokumentacijo PGD ali PZI za novogradnjo</w:t>
      </w:r>
      <w:r w:rsidRPr="00551E83">
        <w:t xml:space="preserve"> </w:t>
      </w:r>
      <w:r w:rsidRPr="00551E83">
        <w:rPr>
          <w:rFonts w:ascii="Arial" w:hAnsi="Arial" w:cs="Arial"/>
        </w:rPr>
        <w:t>za projekt energetske oskrbe skladišč z naftnimi derivati;</w:t>
      </w:r>
    </w:p>
    <w:p w:rsidR="00551E83" w:rsidRPr="00551E83" w:rsidRDefault="00551E83" w:rsidP="00551E83">
      <w:pPr>
        <w:pStyle w:val="Odstavekseznama"/>
        <w:numPr>
          <w:ilvl w:val="0"/>
          <w:numId w:val="31"/>
        </w:numPr>
        <w:spacing w:before="120" w:after="120"/>
        <w:rPr>
          <w:rFonts w:ascii="Arial" w:hAnsi="Arial" w:cs="Arial"/>
        </w:rPr>
      </w:pPr>
      <w:r w:rsidRPr="00551E83">
        <w:rPr>
          <w:rFonts w:ascii="Arial" w:hAnsi="Arial" w:cs="Arial"/>
        </w:rPr>
        <w:t>vsaj enega (1) strokovnjaka elektro stroke za področje meritev, vodenja in nadzora elektro in strojnih naprav predmetnega razpisa, ki se izkazuje s članstvom v nacionalnem strokovnem združenju, kot je na primer imenik IZS in je v petih letih pred datumom objave predmetnega javnega naročila, izdelal vsaj eno projektno dokumentacijo za meritev, vodenja in nadzora elektro in strojnih naprav na projektih za oskrbo z JET A-1 letalskim gorivom</w:t>
      </w:r>
    </w:p>
    <w:p w:rsidR="00551E83" w:rsidRPr="00551E83" w:rsidRDefault="00551E83" w:rsidP="00551E83">
      <w:pPr>
        <w:spacing w:before="120" w:after="120"/>
        <w:ind w:left="12" w:firstLine="708"/>
        <w:rPr>
          <w:rFonts w:ascii="Arial-ItalicMT" w:hAnsi="Arial-ItalicMT" w:cs="Arial-ItalicMT"/>
          <w:iCs/>
        </w:rPr>
      </w:pPr>
      <w:r w:rsidRPr="00551E83">
        <w:rPr>
          <w:rFonts w:ascii="Arial-ItalicMT" w:hAnsi="Arial-ItalicMT" w:cs="Arial-ItalicMT"/>
          <w:iCs/>
        </w:rPr>
        <w:t>Reference se izkazujejo v OBR-2.11</w:t>
      </w:r>
    </w:p>
    <w:p w:rsidR="00551E83" w:rsidRPr="00551E83" w:rsidRDefault="00551E83" w:rsidP="00551E83">
      <w:pPr>
        <w:spacing w:before="120" w:after="120"/>
        <w:ind w:left="708"/>
        <w:jc w:val="both"/>
        <w:rPr>
          <w:rFonts w:cs="Arial"/>
        </w:rPr>
      </w:pPr>
      <w:r w:rsidRPr="00551E83">
        <w:rPr>
          <w:rFonts w:cs="Arial"/>
        </w:rPr>
        <w:t>V primeru skupne ponudbe se reference posameznih izvajalcev v skupnem</w:t>
      </w:r>
      <w:r>
        <w:rPr>
          <w:rFonts w:cs="Arial"/>
        </w:rPr>
        <w:t xml:space="preserve"> </w:t>
      </w:r>
      <w:r w:rsidRPr="00551E83">
        <w:rPr>
          <w:rFonts w:cs="Arial"/>
        </w:rPr>
        <w:t>nastopu seštevajo, vendar mora vsak izmed partnerjev v skupnem nastopu</w:t>
      </w:r>
      <w:r>
        <w:rPr>
          <w:rFonts w:cs="Arial"/>
        </w:rPr>
        <w:t xml:space="preserve"> </w:t>
      </w:r>
      <w:r w:rsidRPr="00551E83">
        <w:rPr>
          <w:rFonts w:cs="Arial"/>
        </w:rPr>
        <w:t>predložiti vsaj eno referenco, ki se nanaša na dela, ki naj bi jih po skupni ponudbi</w:t>
      </w:r>
      <w:r>
        <w:rPr>
          <w:rFonts w:cs="Arial"/>
        </w:rPr>
        <w:t xml:space="preserve"> </w:t>
      </w:r>
      <w:r w:rsidRPr="00551E83">
        <w:rPr>
          <w:rFonts w:cs="Arial"/>
        </w:rPr>
        <w:t>izvajal.</w:t>
      </w:r>
    </w:p>
    <w:p w:rsidR="00551E83" w:rsidRPr="00542243" w:rsidRDefault="00551E83" w:rsidP="00551E83">
      <w:pPr>
        <w:pStyle w:val="Odstavekseznama"/>
        <w:numPr>
          <w:ilvl w:val="0"/>
          <w:numId w:val="30"/>
        </w:numPr>
        <w:autoSpaceDE w:val="0"/>
        <w:autoSpaceDN w:val="0"/>
        <w:adjustRightInd w:val="0"/>
        <w:rPr>
          <w:rFonts w:ascii="Arial-ItalicMT" w:hAnsi="Arial-ItalicMT" w:cs="Arial-ItalicMT"/>
          <w:iCs/>
        </w:rPr>
      </w:pPr>
      <w:r w:rsidRPr="00542243">
        <w:rPr>
          <w:rFonts w:ascii="Arial-ItalicMT" w:hAnsi="Arial-ItalicMT" w:cs="Arial-ItalicMT"/>
          <w:iCs/>
        </w:rPr>
        <w:t>Referenco izkazuje s podpisano izjavo investitorja z navedbo projekta, kratkim opisom del ter vrednostjo pogodbe. Izjava vsebuje tudi klavzulo investitorja, da je izvajalec kvalitetno izvedel naročena dela.</w:t>
      </w:r>
    </w:p>
    <w:p w:rsidR="00A23B4F" w:rsidRDefault="00A23B4F" w:rsidP="00BE50C8">
      <w:pPr>
        <w:widowControl w:val="0"/>
        <w:jc w:val="both"/>
        <w:rPr>
          <w:rFonts w:cs="Arial"/>
        </w:rPr>
      </w:pPr>
      <w:bookmarkStart w:id="0" w:name="_GoBack"/>
      <w:bookmarkEnd w:id="0"/>
    </w:p>
    <w:p w:rsidR="00BE50C8" w:rsidRPr="0041324F" w:rsidRDefault="00BE50C8" w:rsidP="00BE50C8">
      <w:pPr>
        <w:widowControl w:val="0"/>
        <w:jc w:val="both"/>
        <w:rPr>
          <w:rFonts w:cs="Arial"/>
        </w:rPr>
      </w:pPr>
      <w:r w:rsidRPr="00657C07">
        <w:rPr>
          <w:rFonts w:cs="Arial"/>
        </w:rPr>
        <w:t>DOKAZILO:</w:t>
      </w:r>
      <w:r w:rsidRPr="00657C07">
        <w:rPr>
          <w:rFonts w:cs="Arial"/>
        </w:rPr>
        <w:tab/>
      </w:r>
      <w:r w:rsidRPr="00657C07">
        <w:rPr>
          <w:rFonts w:cs="Arial"/>
          <w:b/>
          <w:i/>
        </w:rPr>
        <w:t>Izpolnjen obrazec ESPD (v »Del IV: Pogoji za sodelovanje, Oddelek C</w:t>
      </w:r>
      <w:r w:rsidR="00657C07">
        <w:rPr>
          <w:rFonts w:cs="Arial"/>
          <w:b/>
          <w:i/>
        </w:rPr>
        <w:t>.</w:t>
      </w:r>
      <w:r w:rsidRPr="00657C07">
        <w:rPr>
          <w:rFonts w:cs="Arial"/>
          <w:b/>
          <w:i/>
        </w:rPr>
        <w:t xml:space="preserve"> Tehnična in strokovna sposobnost«).</w:t>
      </w:r>
      <w:r>
        <w:rPr>
          <w:rFonts w:cs="Arial"/>
        </w:rPr>
        <w:t xml:space="preserve"> </w:t>
      </w:r>
      <w:r w:rsidRPr="0041324F">
        <w:rPr>
          <w:rFonts w:cs="Arial"/>
        </w:rPr>
        <w:t xml:space="preserve">Sposobnost izvršitve del, ki so predmet javnega naročila, izkazujejo vsa sodelujoča podjetja ponudnika </w:t>
      </w:r>
      <w:r w:rsidRPr="0041324F">
        <w:rPr>
          <w:rFonts w:cs="Arial"/>
          <w:b/>
          <w:u w:val="single"/>
        </w:rPr>
        <w:t>skupaj</w:t>
      </w:r>
      <w:r w:rsidRPr="0041324F">
        <w:rPr>
          <w:rFonts w:cs="Arial"/>
        </w:rPr>
        <w:t xml:space="preserve">, in sicer vsako za področje del, ki jih bo izvajalo v skupni organizaciji ponudnika. Kot referenčne </w:t>
      </w:r>
      <w:r w:rsidR="00A23B4F">
        <w:rPr>
          <w:rFonts w:cs="Arial"/>
        </w:rPr>
        <w:t>storitve</w:t>
      </w:r>
      <w:r w:rsidRPr="0041324F">
        <w:rPr>
          <w:rFonts w:cs="Arial"/>
        </w:rPr>
        <w:t xml:space="preserve"> se štejejo </w:t>
      </w:r>
      <w:r w:rsidR="00A23B4F">
        <w:rPr>
          <w:rFonts w:cs="Arial"/>
        </w:rPr>
        <w:t>storitve</w:t>
      </w:r>
      <w:r w:rsidRPr="0041324F">
        <w:rPr>
          <w:rFonts w:cs="Arial"/>
        </w:rPr>
        <w:t xml:space="preserve"> z navedenimi vrstami del, ki izkazujejo sposobnost posameznega sodelujočega podjetja za izvršitev nominiranih del v javnem </w:t>
      </w:r>
      <w:r w:rsidR="00657C07">
        <w:rPr>
          <w:rFonts w:cs="Arial"/>
        </w:rPr>
        <w:t>naročilu v skladu z zahtevami te razpisne dokumentacije</w:t>
      </w:r>
      <w:r w:rsidRPr="0041324F">
        <w:rPr>
          <w:rFonts w:cs="Arial"/>
        </w:rPr>
        <w:t>.</w:t>
      </w:r>
    </w:p>
    <w:p w:rsidR="00BE50C8" w:rsidRPr="00795647" w:rsidRDefault="00BE50C8" w:rsidP="00BE50C8">
      <w:pPr>
        <w:pStyle w:val="Telobesedila2"/>
        <w:tabs>
          <w:tab w:val="num" w:pos="0"/>
        </w:tabs>
        <w:spacing w:after="0" w:line="240" w:lineRule="auto"/>
        <w:jc w:val="both"/>
        <w:rPr>
          <w:rFonts w:cs="Arial"/>
        </w:rPr>
      </w:pPr>
    </w:p>
    <w:p w:rsidR="00803912" w:rsidRPr="007B0111" w:rsidRDefault="00803912" w:rsidP="00803912">
      <w:pPr>
        <w:widowControl w:val="0"/>
        <w:numPr>
          <w:ilvl w:val="0"/>
          <w:numId w:val="24"/>
        </w:numPr>
        <w:ind w:left="360"/>
        <w:rPr>
          <w:rFonts w:cs="Arial"/>
          <w:b/>
        </w:rPr>
      </w:pPr>
      <w:bookmarkStart w:id="1" w:name="_Toc526152249"/>
      <w:r w:rsidRPr="007B0111">
        <w:rPr>
          <w:rFonts w:cs="Arial"/>
          <w:b/>
        </w:rPr>
        <w:t>DRUGI POGOJI</w:t>
      </w:r>
      <w:bookmarkEnd w:id="1"/>
      <w:r w:rsidRPr="007B0111">
        <w:rPr>
          <w:rFonts w:cs="Arial"/>
          <w:b/>
        </w:rPr>
        <w:t xml:space="preserve"> </w:t>
      </w:r>
    </w:p>
    <w:p w:rsidR="00803912" w:rsidRPr="007B0111" w:rsidRDefault="00803912" w:rsidP="00803912">
      <w:pPr>
        <w:pStyle w:val="Telobesedila"/>
        <w:spacing w:after="0"/>
        <w:jc w:val="both"/>
        <w:rPr>
          <w:rFonts w:cs="Arial"/>
          <w:b/>
        </w:rPr>
      </w:pPr>
    </w:p>
    <w:p w:rsidR="00131153" w:rsidRPr="007B0111" w:rsidRDefault="00131153" w:rsidP="00131153">
      <w:pPr>
        <w:pStyle w:val="Odstavekseznama"/>
        <w:numPr>
          <w:ilvl w:val="0"/>
          <w:numId w:val="29"/>
        </w:numPr>
        <w:tabs>
          <w:tab w:val="left" w:pos="142"/>
        </w:tabs>
        <w:spacing w:line="260" w:lineRule="atLeast"/>
        <w:rPr>
          <w:rFonts w:ascii="Arial" w:hAnsi="Arial" w:cs="Arial"/>
        </w:rPr>
      </w:pPr>
      <w:r w:rsidRPr="007B0111">
        <w:rPr>
          <w:rFonts w:ascii="Arial" w:hAnsi="Arial" w:cs="Arial"/>
        </w:rPr>
        <w:t>Ponudnik ni bil pravnomočno kaznovan za prekršek iz 22. člena Zakona o blagovnih rezervah (Uradni list RS, št. 96-2009 – UPB2 in 83/2012).</w:t>
      </w:r>
    </w:p>
    <w:p w:rsidR="00803912" w:rsidRPr="007B0111" w:rsidRDefault="00803912" w:rsidP="00803912">
      <w:pPr>
        <w:tabs>
          <w:tab w:val="left" w:pos="142"/>
          <w:tab w:val="left" w:pos="817"/>
        </w:tabs>
        <w:ind w:left="426" w:hanging="284"/>
        <w:jc w:val="both"/>
        <w:rPr>
          <w:rFonts w:cs="Arial"/>
        </w:rPr>
      </w:pPr>
    </w:p>
    <w:p w:rsidR="00803912" w:rsidRPr="007B0111" w:rsidRDefault="002A5242" w:rsidP="00803912">
      <w:pPr>
        <w:tabs>
          <w:tab w:val="left" w:pos="142"/>
        </w:tabs>
        <w:ind w:left="426" w:hanging="284"/>
        <w:jc w:val="both"/>
        <w:rPr>
          <w:rFonts w:cs="Arial"/>
          <w:lang w:eastAsia="en-US"/>
        </w:rPr>
      </w:pPr>
      <w:r w:rsidRPr="007B0111">
        <w:rPr>
          <w:rFonts w:cs="Arial"/>
        </w:rPr>
        <w:tab/>
      </w:r>
      <w:r w:rsidR="00131153" w:rsidRPr="007B0111">
        <w:rPr>
          <w:rFonts w:cs="Arial"/>
        </w:rPr>
        <w:t xml:space="preserve">DOKAZILO: </w:t>
      </w:r>
      <w:r w:rsidR="00131153" w:rsidRPr="007B0111">
        <w:rPr>
          <w:rFonts w:cs="Arial"/>
          <w:b/>
          <w:i/>
        </w:rPr>
        <w:t>Izpolnjen obrazec ESPD (v »Del VI: Zaključek, v Podpisani uradno izjavljam/izjavljamo…«) za vse gospodarske subjekte v ponudbi.</w:t>
      </w:r>
    </w:p>
    <w:p w:rsidR="00131153" w:rsidRPr="007B0111" w:rsidRDefault="00131153" w:rsidP="00131153">
      <w:pPr>
        <w:pStyle w:val="Telobesedila"/>
        <w:spacing w:after="0"/>
        <w:jc w:val="both"/>
        <w:rPr>
          <w:rFonts w:cs="Arial"/>
          <w:b/>
        </w:rPr>
      </w:pPr>
    </w:p>
    <w:p w:rsidR="00131153" w:rsidRPr="007B0111" w:rsidRDefault="00131153" w:rsidP="00131153">
      <w:pPr>
        <w:pStyle w:val="Odstavekseznama"/>
        <w:numPr>
          <w:ilvl w:val="0"/>
          <w:numId w:val="29"/>
        </w:numPr>
        <w:tabs>
          <w:tab w:val="left" w:pos="142"/>
        </w:tabs>
        <w:spacing w:line="260" w:lineRule="atLeast"/>
        <w:rPr>
          <w:rFonts w:ascii="Arial" w:hAnsi="Arial" w:cs="Arial"/>
        </w:rPr>
      </w:pPr>
      <w:r w:rsidRPr="007B0111">
        <w:rPr>
          <w:rFonts w:ascii="Arial" w:hAnsi="Arial" w:cs="Arial"/>
        </w:rPr>
        <w:t>Ponudnik nima neizpolnjenih obveznosti do naročnika dalj kot trideset dni (2. odstavek 18. člena Zakona o blagovnih rezervah, Uradni list RS, št. 96-2009 – UPB2 in 83/2012).</w:t>
      </w:r>
    </w:p>
    <w:p w:rsidR="00131153" w:rsidRPr="007B0111" w:rsidRDefault="00131153" w:rsidP="00131153">
      <w:pPr>
        <w:tabs>
          <w:tab w:val="left" w:pos="142"/>
          <w:tab w:val="left" w:pos="817"/>
        </w:tabs>
        <w:spacing w:line="260" w:lineRule="atLeast"/>
        <w:ind w:left="426" w:hanging="284"/>
        <w:jc w:val="both"/>
        <w:rPr>
          <w:rFonts w:cs="Arial"/>
        </w:rPr>
      </w:pPr>
    </w:p>
    <w:p w:rsidR="00131153" w:rsidRPr="007B0111" w:rsidRDefault="00131153" w:rsidP="00131153">
      <w:pPr>
        <w:tabs>
          <w:tab w:val="left" w:pos="142"/>
        </w:tabs>
        <w:spacing w:line="260" w:lineRule="atLeast"/>
        <w:ind w:left="426" w:hanging="284"/>
        <w:jc w:val="both"/>
        <w:rPr>
          <w:rFonts w:cs="Arial"/>
        </w:rPr>
      </w:pPr>
      <w:r w:rsidRPr="007B0111">
        <w:rPr>
          <w:rFonts w:cs="Arial"/>
        </w:rPr>
        <w:tab/>
        <w:t xml:space="preserve">DOKAZILO: </w:t>
      </w:r>
      <w:r w:rsidRPr="007B0111">
        <w:rPr>
          <w:rFonts w:cs="Arial"/>
          <w:b/>
          <w:i/>
        </w:rPr>
        <w:t>Izpolnjen obrazec ESPD (v »Del VI: Zaključek, v Podpisani uradno izjavljam/izjavljamo…«) za vse gospodarske subjekte v ponudbi.</w:t>
      </w:r>
    </w:p>
    <w:p w:rsidR="00131153" w:rsidRPr="007B0111" w:rsidRDefault="00131153" w:rsidP="00131153">
      <w:pPr>
        <w:tabs>
          <w:tab w:val="left" w:pos="142"/>
        </w:tabs>
        <w:spacing w:line="260" w:lineRule="atLeast"/>
        <w:ind w:left="426" w:hanging="284"/>
        <w:jc w:val="both"/>
        <w:rPr>
          <w:rFonts w:cs="Arial"/>
          <w:lang w:eastAsia="en-US"/>
        </w:rPr>
      </w:pPr>
    </w:p>
    <w:p w:rsidR="00131153" w:rsidRPr="007B0111" w:rsidRDefault="00131153" w:rsidP="00131153">
      <w:pPr>
        <w:pStyle w:val="Odstavekseznama"/>
        <w:numPr>
          <w:ilvl w:val="0"/>
          <w:numId w:val="29"/>
        </w:numPr>
        <w:tabs>
          <w:tab w:val="left" w:pos="142"/>
        </w:tabs>
        <w:spacing w:line="260" w:lineRule="atLeast"/>
        <w:rPr>
          <w:rFonts w:ascii="Arial" w:hAnsi="Arial" w:cs="Arial"/>
        </w:rPr>
      </w:pPr>
      <w:r w:rsidRPr="007B0111">
        <w:rPr>
          <w:rFonts w:ascii="Arial" w:hAnsi="Arial" w:cs="Arial"/>
        </w:rPr>
        <w:t>Ponudnik ni uvrščen v evidenco poslovnih subjektov iz 35. člena Zakona o integriteti in preprečevanju korupcije (Uradni list RS, št. 69/11-UPB2) in mu ni na podlagi tega člena prepovedano poslovanje z naročnikom.</w:t>
      </w:r>
    </w:p>
    <w:p w:rsidR="00131153" w:rsidRPr="007B0111" w:rsidRDefault="00131153" w:rsidP="00131153">
      <w:pPr>
        <w:tabs>
          <w:tab w:val="left" w:pos="142"/>
          <w:tab w:val="left" w:pos="817"/>
        </w:tabs>
        <w:spacing w:line="260" w:lineRule="atLeast"/>
        <w:ind w:left="426" w:hanging="284"/>
        <w:jc w:val="both"/>
        <w:rPr>
          <w:rFonts w:cs="Arial"/>
        </w:rPr>
      </w:pPr>
    </w:p>
    <w:p w:rsidR="00131153" w:rsidRPr="007B0111" w:rsidRDefault="00131153" w:rsidP="00131153">
      <w:pPr>
        <w:tabs>
          <w:tab w:val="left" w:pos="142"/>
        </w:tabs>
        <w:spacing w:line="260" w:lineRule="atLeast"/>
        <w:ind w:left="426" w:hanging="284"/>
        <w:jc w:val="both"/>
        <w:rPr>
          <w:rFonts w:cs="Arial"/>
        </w:rPr>
      </w:pPr>
      <w:r w:rsidRPr="007B0111">
        <w:rPr>
          <w:rFonts w:cs="Arial"/>
        </w:rPr>
        <w:tab/>
        <w:t xml:space="preserve">DOKAZILO: </w:t>
      </w:r>
      <w:r w:rsidRPr="007B0111">
        <w:rPr>
          <w:rFonts w:cs="Arial"/>
          <w:b/>
          <w:i/>
        </w:rPr>
        <w:t>Izpolnjen obrazec ESPD (v »Del VI: Zaključek, v Podpisani dajem/o uradno soglasje…«) za vse gospodarske subjekte v ponudbi.</w:t>
      </w:r>
    </w:p>
    <w:p w:rsidR="00131153" w:rsidRPr="007B0111" w:rsidRDefault="00131153" w:rsidP="00BE50C8">
      <w:pPr>
        <w:pStyle w:val="Pripombabesedilo"/>
        <w:rPr>
          <w:sz w:val="22"/>
          <w:szCs w:val="22"/>
        </w:rPr>
      </w:pPr>
    </w:p>
    <w:p w:rsidR="00933473" w:rsidRPr="008058DD" w:rsidRDefault="00933473" w:rsidP="00933473">
      <w:pPr>
        <w:widowControl w:val="0"/>
        <w:rPr>
          <w:rFonts w:cs="Arial"/>
          <w:b/>
        </w:rPr>
      </w:pPr>
      <w:bookmarkStart w:id="2" w:name="_Toc336851749"/>
      <w:bookmarkStart w:id="3" w:name="_Toc336851797"/>
      <w:bookmarkStart w:id="4" w:name="_Toc509692061"/>
      <w:r w:rsidRPr="008058DD">
        <w:rPr>
          <w:rFonts w:cs="Arial"/>
          <w:b/>
        </w:rPr>
        <w:t>OBRAZEC »</w:t>
      </w:r>
      <w:bookmarkEnd w:id="2"/>
      <w:bookmarkEnd w:id="3"/>
      <w:r w:rsidRPr="008058DD">
        <w:rPr>
          <w:rFonts w:cs="Arial"/>
          <w:b/>
        </w:rPr>
        <w:t xml:space="preserve">ESPD« </w:t>
      </w:r>
      <w:bookmarkEnd w:id="4"/>
    </w:p>
    <w:p w:rsidR="00933473" w:rsidRDefault="00933473" w:rsidP="00933473">
      <w:pPr>
        <w:widowControl w:val="0"/>
        <w:jc w:val="both"/>
        <w:rPr>
          <w:rFonts w:cs="Arial"/>
        </w:rPr>
      </w:pPr>
      <w:r w:rsidRPr="00160AF7">
        <w:rPr>
          <w:rFonts w:cs="Arial"/>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rsidR="004F5337" w:rsidRDefault="004F5337" w:rsidP="004F5337">
      <w:pPr>
        <w:jc w:val="both"/>
        <w:rPr>
          <w:rFonts w:cs="Arial"/>
          <w:szCs w:val="20"/>
        </w:rPr>
      </w:pPr>
    </w:p>
    <w:p w:rsidR="00C366F0" w:rsidRPr="004F5337" w:rsidRDefault="00C366F0" w:rsidP="004F5337">
      <w:pPr>
        <w:jc w:val="both"/>
        <w:rPr>
          <w:rFonts w:cs="Arial"/>
          <w:szCs w:val="20"/>
        </w:rPr>
      </w:pPr>
      <w:r>
        <w:rPr>
          <w:rFonts w:cs="Arial"/>
          <w:szCs w:val="20"/>
        </w:rPr>
        <w:lastRenderedPageBreak/>
        <w:t>Navedbe v ESPD in/ali dokazila, ki ji predloži gospodarski subjekt, morajo biti veljavni.</w:t>
      </w:r>
    </w:p>
    <w:p w:rsidR="004F5337" w:rsidRDefault="004F5337" w:rsidP="00C366F0">
      <w:pPr>
        <w:jc w:val="both"/>
        <w:rPr>
          <w:rFonts w:cs="Arial"/>
        </w:rPr>
      </w:pPr>
    </w:p>
    <w:p w:rsidR="00C366F0" w:rsidRDefault="00933473" w:rsidP="00C366F0">
      <w:pPr>
        <w:jc w:val="both"/>
      </w:pPr>
      <w:r w:rsidRPr="00160AF7">
        <w:rPr>
          <w:rFonts w:cs="Arial"/>
        </w:rPr>
        <w:t>Gospodarski subjekt</w:t>
      </w:r>
      <w:r w:rsidR="00A72E16">
        <w:rPr>
          <w:rFonts w:cs="Arial"/>
        </w:rPr>
        <w:t>i</w:t>
      </w:r>
      <w:r w:rsidRPr="00160AF7">
        <w:rPr>
          <w:rFonts w:cs="Arial"/>
        </w:rPr>
        <w:t xml:space="preserve"> naročnikov obrazec ESPD (datoteka XML) uvozi</w:t>
      </w:r>
      <w:r w:rsidR="00A72E16">
        <w:rPr>
          <w:rFonts w:cs="Arial"/>
        </w:rPr>
        <w:t>jo</w:t>
      </w:r>
      <w:r w:rsidRPr="00160AF7">
        <w:rPr>
          <w:rFonts w:cs="Arial"/>
        </w:rPr>
        <w:t xml:space="preserve"> v spletno stran Portala javnih naročil / ESPD: </w:t>
      </w:r>
      <w:hyperlink r:id="rId8" w:history="1">
        <w:r w:rsidRPr="00B40314">
          <w:rPr>
            <w:rStyle w:val="Hiperpovezava"/>
            <w:rFonts w:cs="Arial"/>
          </w:rPr>
          <w:t>http://www.enarocanje.si/ESPD/</w:t>
        </w:r>
      </w:hyperlink>
      <w:r w:rsidRPr="00160AF7">
        <w:rPr>
          <w:rFonts w:cs="Arial"/>
        </w:rPr>
        <w:t xml:space="preserve">, </w:t>
      </w:r>
      <w:r w:rsidR="00C366F0">
        <w:t>in v njega neposredno vnese zahtevane podatke.</w:t>
      </w:r>
    </w:p>
    <w:p w:rsidR="00C366F0" w:rsidRPr="003171DD" w:rsidRDefault="00C366F0" w:rsidP="00C366F0">
      <w:pPr>
        <w:rPr>
          <w:color w:val="FF0000"/>
        </w:rPr>
      </w:pPr>
    </w:p>
    <w:p w:rsidR="00C366F0" w:rsidRPr="00CE507A" w:rsidRDefault="00C366F0" w:rsidP="00C366F0">
      <w:pPr>
        <w:jc w:val="both"/>
      </w:pPr>
      <w:r w:rsidRPr="00CE507A">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C366F0" w:rsidRPr="00C366F0" w:rsidRDefault="00C366F0" w:rsidP="00C366F0">
      <w:pPr>
        <w:jc w:val="both"/>
      </w:pPr>
    </w:p>
    <w:p w:rsidR="00C366F0" w:rsidRPr="00C366F0" w:rsidRDefault="00C366F0" w:rsidP="00C366F0">
      <w:pPr>
        <w:jc w:val="both"/>
      </w:pPr>
      <w:bookmarkStart w:id="5" w:name="_Toc466382905"/>
      <w:bookmarkStart w:id="6" w:name="_Toc466382906"/>
      <w:bookmarkStart w:id="7" w:name="_Hlk511905322"/>
      <w:bookmarkEnd w:id="5"/>
      <w:bookmarkEnd w:id="6"/>
      <w:r w:rsidRPr="00C366F0">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C366F0">
        <w:t>xml</w:t>
      </w:r>
      <w:proofErr w:type="spellEnd"/>
      <w:r w:rsidRPr="00C366F0">
        <w:t xml:space="preserve">. obliki ali nepodpisan ESPD v </w:t>
      </w:r>
      <w:proofErr w:type="spellStart"/>
      <w:r w:rsidRPr="00C366F0">
        <w:t>xml</w:t>
      </w:r>
      <w:proofErr w:type="spellEnd"/>
      <w:r w:rsidRPr="00C366F0">
        <w:t xml:space="preserve">. obliki, </w:t>
      </w:r>
      <w:bookmarkStart w:id="8" w:name="_Hlk531606225"/>
      <w:r w:rsidRPr="00C366F0">
        <w:t>pri čemer se v slednjem primeru v skladu Splošnimi pogoji uporabe informacijskega sistema e-JN šteje, da je oddan pravno zavezujoč dokument, ki ima enako veljavnost kot podpisan</w:t>
      </w:r>
      <w:bookmarkEnd w:id="8"/>
      <w:r w:rsidRPr="00C366F0">
        <w:t xml:space="preserve">. </w:t>
      </w:r>
    </w:p>
    <w:bookmarkEnd w:id="7"/>
    <w:p w:rsidR="00933473" w:rsidRPr="00C366F0" w:rsidRDefault="00C366F0" w:rsidP="00C366F0">
      <w:pPr>
        <w:jc w:val="both"/>
      </w:pPr>
      <w:r w:rsidRPr="00C366F0">
        <w:t xml:space="preserve">Za ostale sodelujoče ponudnik v razdelek »ESPD – ostali sodelujoči« priloži podpisane ESPD v </w:t>
      </w:r>
      <w:proofErr w:type="spellStart"/>
      <w:r w:rsidRPr="00C366F0">
        <w:t>pdf</w:t>
      </w:r>
      <w:proofErr w:type="spellEnd"/>
      <w:r w:rsidRPr="00C366F0">
        <w:t>. obliki, ali v e</w:t>
      </w:r>
      <w:r>
        <w:t xml:space="preserve">lektronski obliki podpisan </w:t>
      </w:r>
      <w:proofErr w:type="spellStart"/>
      <w:r>
        <w:t>xml</w:t>
      </w:r>
      <w:proofErr w:type="spellEnd"/>
      <w:r>
        <w:t>.</w:t>
      </w:r>
    </w:p>
    <w:sectPr w:rsidR="00933473" w:rsidRPr="00C366F0" w:rsidSect="00001218">
      <w:footerReference w:type="default" r:id="rId9"/>
      <w:headerReference w:type="first" r:id="rId10"/>
      <w:foot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0D4C" w:rsidRDefault="00D90D4C">
      <w:r>
        <w:separator/>
      </w:r>
    </w:p>
  </w:endnote>
  <w:endnote w:type="continuationSeparator" w:id="0">
    <w:p w:rsidR="00D90D4C" w:rsidRDefault="00D90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Italic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0866" w:rsidRPr="00584B10" w:rsidRDefault="00370866" w:rsidP="00001218">
    <w:pPr>
      <w:pStyle w:val="Noga"/>
      <w:pBdr>
        <w:top w:val="single" w:sz="4" w:space="1" w:color="auto"/>
      </w:pBdr>
      <w:rPr>
        <w:rFonts w:ascii="Arial" w:hAnsi="Arial" w:cs="Arial"/>
        <w:sz w:val="22"/>
        <w:szCs w:val="22"/>
      </w:rPr>
    </w:pPr>
    <w:r w:rsidRPr="00001218">
      <w:rPr>
        <w:rStyle w:val="tevilkastrani"/>
        <w:sz w:val="20"/>
        <w:szCs w:val="20"/>
      </w:rPr>
      <w:tab/>
    </w:r>
    <w:r w:rsidRPr="00001218">
      <w:rPr>
        <w:rStyle w:val="tevilkastrani"/>
        <w:sz w:val="20"/>
        <w:szCs w:val="20"/>
      </w:rPr>
      <w:tab/>
    </w:r>
    <w:r w:rsidRPr="00584B10">
      <w:rPr>
        <w:rStyle w:val="tevilkastrani"/>
        <w:rFonts w:ascii="Arial" w:hAnsi="Arial" w:cs="Arial"/>
        <w:sz w:val="22"/>
        <w:szCs w:val="22"/>
      </w:rPr>
      <w:fldChar w:fldCharType="begin"/>
    </w:r>
    <w:r w:rsidRPr="00584B10">
      <w:rPr>
        <w:rStyle w:val="tevilkastrani"/>
        <w:rFonts w:ascii="Arial" w:hAnsi="Arial" w:cs="Arial"/>
        <w:sz w:val="22"/>
        <w:szCs w:val="22"/>
      </w:rPr>
      <w:instrText xml:space="preserve"> PAGE </w:instrText>
    </w:r>
    <w:r w:rsidRPr="00584B10">
      <w:rPr>
        <w:rStyle w:val="tevilkastrani"/>
        <w:rFonts w:ascii="Arial" w:hAnsi="Arial" w:cs="Arial"/>
        <w:sz w:val="22"/>
        <w:szCs w:val="22"/>
      </w:rPr>
      <w:fldChar w:fldCharType="separate"/>
    </w:r>
    <w:r w:rsidR="00D56FE8" w:rsidRPr="00584B10">
      <w:rPr>
        <w:rStyle w:val="tevilkastrani"/>
        <w:rFonts w:ascii="Arial" w:hAnsi="Arial" w:cs="Arial"/>
        <w:noProof/>
        <w:sz w:val="22"/>
        <w:szCs w:val="22"/>
      </w:rPr>
      <w:t>6</w:t>
    </w:r>
    <w:r w:rsidRPr="00584B10">
      <w:rPr>
        <w:rStyle w:val="tevilkastrani"/>
        <w:rFonts w:ascii="Arial" w:hAnsi="Arial" w:cs="Arial"/>
        <w:sz w:val="22"/>
        <w:szCs w:val="22"/>
      </w:rPr>
      <w:fldChar w:fldCharType="end"/>
    </w:r>
    <w:r w:rsidRPr="00584B10">
      <w:rPr>
        <w:rStyle w:val="tevilkastrani"/>
        <w:rFonts w:ascii="Arial" w:hAnsi="Arial" w:cs="Arial"/>
        <w:sz w:val="22"/>
        <w:szCs w:val="22"/>
      </w:rPr>
      <w:t xml:space="preserve"> / </w:t>
    </w:r>
    <w:r w:rsidRPr="00584B10">
      <w:rPr>
        <w:rStyle w:val="tevilkastrani"/>
        <w:rFonts w:ascii="Arial" w:hAnsi="Arial" w:cs="Arial"/>
        <w:sz w:val="22"/>
        <w:szCs w:val="22"/>
      </w:rPr>
      <w:fldChar w:fldCharType="begin"/>
    </w:r>
    <w:r w:rsidRPr="00584B10">
      <w:rPr>
        <w:rStyle w:val="tevilkastrani"/>
        <w:rFonts w:ascii="Arial" w:hAnsi="Arial" w:cs="Arial"/>
        <w:sz w:val="22"/>
        <w:szCs w:val="22"/>
      </w:rPr>
      <w:instrText xml:space="preserve"> NUMPAGES </w:instrText>
    </w:r>
    <w:r w:rsidRPr="00584B10">
      <w:rPr>
        <w:rStyle w:val="tevilkastrani"/>
        <w:rFonts w:ascii="Arial" w:hAnsi="Arial" w:cs="Arial"/>
        <w:sz w:val="22"/>
        <w:szCs w:val="22"/>
      </w:rPr>
      <w:fldChar w:fldCharType="separate"/>
    </w:r>
    <w:r w:rsidR="00D56FE8" w:rsidRPr="00584B10">
      <w:rPr>
        <w:rStyle w:val="tevilkastrani"/>
        <w:rFonts w:ascii="Arial" w:hAnsi="Arial" w:cs="Arial"/>
        <w:noProof/>
        <w:sz w:val="22"/>
        <w:szCs w:val="22"/>
      </w:rPr>
      <w:t>6</w:t>
    </w:r>
    <w:r w:rsidRPr="00584B10">
      <w:rPr>
        <w:rStyle w:val="tevilkastrani"/>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A1445A" w:rsidTr="00A1445A">
      <w:tc>
        <w:tcPr>
          <w:tcW w:w="4605" w:type="dxa"/>
          <w:shd w:val="clear" w:color="auto" w:fill="auto"/>
        </w:tcPr>
        <w:p w:rsidR="005A785E" w:rsidRPr="005A785E" w:rsidRDefault="005A785E" w:rsidP="002618E0">
          <w:pPr>
            <w:rPr>
              <w:noProof/>
            </w:rPr>
          </w:pP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6E6155">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6E6155">
            <w:rPr>
              <w:rStyle w:val="tevilkastrani"/>
              <w:rFonts w:cs="Arial"/>
              <w:noProof/>
            </w:rPr>
            <w:t>6</w:t>
          </w:r>
          <w:r w:rsidRPr="00A1445A">
            <w:rPr>
              <w:rStyle w:val="tevilkastrani"/>
              <w:rFonts w:cs="Arial"/>
            </w:rPr>
            <w:fldChar w:fldCharType="end"/>
          </w:r>
        </w:p>
      </w:tc>
    </w:tr>
  </w:tbl>
  <w:p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0D4C" w:rsidRDefault="00D90D4C">
      <w:r>
        <w:separator/>
      </w:r>
    </w:p>
  </w:footnote>
  <w:footnote w:type="continuationSeparator" w:id="0">
    <w:p w:rsidR="00D90D4C" w:rsidRDefault="00D90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370866" w:rsidRPr="00A1445A" w:rsidTr="00A04B00">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01195A2F" wp14:editId="44A579B1">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A04B00" w:rsidRDefault="00A04B00" w:rsidP="00A04B00">
          <w:pPr>
            <w:pStyle w:val="Noga"/>
            <w:tabs>
              <w:tab w:val="clear" w:pos="4536"/>
              <w:tab w:val="clear" w:pos="9072"/>
              <w:tab w:val="left" w:pos="1309"/>
            </w:tabs>
            <w:rPr>
              <w:rFonts w:ascii="Arial" w:hAnsi="Arial" w:cs="Arial"/>
              <w:color w:val="000000"/>
              <w:spacing w:val="-8"/>
              <w:sz w:val="20"/>
              <w:szCs w:val="20"/>
            </w:rPr>
          </w:pPr>
          <w:r>
            <w:rPr>
              <w:rFonts w:ascii="Arial" w:hAnsi="Arial" w:cs="Arial"/>
              <w:color w:val="000000"/>
              <w:sz w:val="20"/>
              <w:szCs w:val="20"/>
            </w:rPr>
            <w:tab/>
          </w:r>
          <w:r w:rsidR="00370866" w:rsidRPr="00A1445A">
            <w:rPr>
              <w:rFonts w:ascii="Arial" w:hAnsi="Arial" w:cs="Arial"/>
              <w:color w:val="000000"/>
              <w:sz w:val="20"/>
              <w:szCs w:val="20"/>
            </w:rPr>
            <w:t>T:</w:t>
          </w:r>
          <w:r>
            <w:rPr>
              <w:rFonts w:ascii="Arial" w:hAnsi="Arial" w:cs="Arial"/>
              <w:color w:val="000000"/>
              <w:sz w:val="20"/>
              <w:szCs w:val="20"/>
            </w:rPr>
            <w:t xml:space="preserve"> </w:t>
          </w:r>
          <w:r w:rsidR="00370866" w:rsidRPr="00A1445A">
            <w:rPr>
              <w:rFonts w:ascii="Arial" w:hAnsi="Arial"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ascii="Arial" w:hAnsi="Arial" w:cs="Arial"/>
              <w:color w:val="000000"/>
              <w:sz w:val="20"/>
              <w:szCs w:val="20"/>
            </w:rPr>
          </w:pPr>
          <w:r>
            <w:rPr>
              <w:rFonts w:ascii="Arial" w:hAnsi="Arial" w:cs="Arial"/>
              <w:color w:val="000000"/>
              <w:sz w:val="20"/>
              <w:szCs w:val="20"/>
            </w:rPr>
            <w:tab/>
          </w:r>
          <w:r w:rsidR="00370866" w:rsidRPr="00A1445A">
            <w:rPr>
              <w:rFonts w:ascii="Arial" w:hAnsi="Arial" w:cs="Arial"/>
              <w:color w:val="000000"/>
              <w:sz w:val="20"/>
              <w:szCs w:val="20"/>
            </w:rPr>
            <w:t>E:</w:t>
          </w:r>
          <w:r>
            <w:rPr>
              <w:rFonts w:ascii="Arial" w:hAnsi="Arial" w:cs="Arial"/>
              <w:color w:val="000000"/>
              <w:sz w:val="20"/>
              <w:szCs w:val="20"/>
            </w:rPr>
            <w:t xml:space="preserve"> </w:t>
          </w:r>
          <w:hyperlink r:id="rId2" w:history="1">
            <w:r w:rsidR="00A21745" w:rsidRPr="00B66742">
              <w:rPr>
                <w:rStyle w:val="Hiperpovezava"/>
                <w:rFonts w:ascii="Arial" w:hAnsi="Arial" w:cs="Arial"/>
                <w:sz w:val="20"/>
                <w:szCs w:val="20"/>
              </w:rPr>
              <w:t>info@dbr.si</w:t>
            </w:r>
          </w:hyperlink>
        </w:p>
        <w:p w:rsidR="00370866" w:rsidRPr="00A1445A" w:rsidRDefault="00A04B00" w:rsidP="00A21745">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A21745" w:rsidRPr="00B66742">
              <w:rPr>
                <w:rStyle w:val="Hiperpovezava"/>
                <w:rFonts w:cs="Arial"/>
                <w:sz w:val="20"/>
                <w:szCs w:val="20"/>
              </w:rPr>
              <w:t>www.dbr.si</w:t>
            </w:r>
          </w:hyperlink>
        </w:p>
      </w:tc>
    </w:tr>
    <w:tr w:rsidR="00C0552D" w:rsidRPr="00A1445A" w:rsidTr="00A04B00">
      <w:tc>
        <w:tcPr>
          <w:tcW w:w="4039" w:type="dxa"/>
          <w:tcBorders>
            <w:top w:val="single" w:sz="4" w:space="0" w:color="auto"/>
          </w:tcBorders>
          <w:shd w:val="clear" w:color="auto" w:fill="auto"/>
        </w:tcPr>
        <w:p w:rsidR="00C0552D" w:rsidRPr="00A1445A" w:rsidRDefault="00C0552D" w:rsidP="00A1445A">
          <w:pPr>
            <w:ind w:right="6"/>
            <w:jc w:val="both"/>
            <w:rPr>
              <w:rFonts w:cs="Arial"/>
              <w:b/>
              <w:color w:val="000000"/>
            </w:rPr>
          </w:pPr>
        </w:p>
      </w:tc>
      <w:tc>
        <w:tcPr>
          <w:tcW w:w="1418" w:type="dxa"/>
          <w:tcBorders>
            <w:top w:val="single" w:sz="4" w:space="0" w:color="auto"/>
          </w:tcBorders>
          <w:shd w:val="clear" w:color="auto" w:fill="auto"/>
        </w:tcPr>
        <w:p w:rsidR="00C0552D" w:rsidRPr="00A1445A" w:rsidRDefault="00C0552D" w:rsidP="00C0552D">
          <w:pPr>
            <w:rPr>
              <w:rFonts w:cs="Arial"/>
              <w:color w:val="000000"/>
            </w:rPr>
          </w:pPr>
        </w:p>
      </w:tc>
      <w:tc>
        <w:tcPr>
          <w:tcW w:w="3775" w:type="dxa"/>
          <w:tcBorders>
            <w:top w:val="single" w:sz="4" w:space="0" w:color="auto"/>
          </w:tcBorders>
          <w:shd w:val="clear" w:color="auto" w:fill="auto"/>
        </w:tcPr>
        <w:p w:rsidR="00C0552D" w:rsidRPr="00096765" w:rsidRDefault="002232A5" w:rsidP="00C4227E">
          <w:pPr>
            <w:jc w:val="right"/>
            <w:rPr>
              <w:rFonts w:cs="Arial"/>
              <w:sz w:val="16"/>
              <w:szCs w:val="16"/>
            </w:rPr>
          </w:pPr>
          <w:r>
            <w:rPr>
              <w:rFonts w:cs="Arial"/>
              <w:sz w:val="16"/>
              <w:szCs w:val="16"/>
            </w:rPr>
            <w:t xml:space="preserve">OBR – </w:t>
          </w:r>
          <w:r w:rsidR="00085DE3">
            <w:rPr>
              <w:rFonts w:cs="Arial"/>
              <w:sz w:val="16"/>
              <w:szCs w:val="16"/>
            </w:rPr>
            <w:t>2.0</w:t>
          </w:r>
          <w:r w:rsidR="00C4227E">
            <w:rPr>
              <w:rFonts w:cs="Arial"/>
              <w:sz w:val="16"/>
              <w:szCs w:val="16"/>
            </w:rPr>
            <w:t>6</w:t>
          </w:r>
        </w:p>
      </w:tc>
    </w:tr>
  </w:tbl>
  <w:p w:rsidR="00370866" w:rsidRPr="00FC6CF0" w:rsidRDefault="00370866" w:rsidP="00001218">
    <w:pPr>
      <w:pStyle w:val="Glava"/>
      <w:rPr>
        <w:rFonts w:ascii="Arial" w:hAnsi="Arial" w:cs="Arial"/>
        <w:sz w:val="2"/>
        <w:szCs w:val="2"/>
      </w:rPr>
    </w:pPr>
  </w:p>
  <w:p w:rsidR="00370866" w:rsidRPr="00FC6CF0" w:rsidRDefault="00370866">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64AD"/>
    <w:multiLevelType w:val="hybridMultilevel"/>
    <w:tmpl w:val="9EBC1BA8"/>
    <w:lvl w:ilvl="0" w:tplc="7C9CF370">
      <w:start w:val="9"/>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89A1F0A"/>
    <w:multiLevelType w:val="hybridMultilevel"/>
    <w:tmpl w:val="F4BA063E"/>
    <w:lvl w:ilvl="0" w:tplc="29528072">
      <w:start w:val="1"/>
      <w:numFmt w:val="decimal"/>
      <w:lvlText w:val="%1."/>
      <w:lvlJc w:val="left"/>
      <w:pPr>
        <w:ind w:left="78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C7D5631"/>
    <w:multiLevelType w:val="hybridMultilevel"/>
    <w:tmpl w:val="A016FAB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EEE026E"/>
    <w:multiLevelType w:val="hybridMultilevel"/>
    <w:tmpl w:val="E36A10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1396A30"/>
    <w:multiLevelType w:val="hybridMultilevel"/>
    <w:tmpl w:val="4EBE2D2C"/>
    <w:lvl w:ilvl="0" w:tplc="04240001">
      <w:start w:val="1"/>
      <w:numFmt w:val="bullet"/>
      <w:lvlText w:val=""/>
      <w:lvlJc w:val="left"/>
      <w:pPr>
        <w:tabs>
          <w:tab w:val="num" w:pos="750"/>
        </w:tabs>
        <w:ind w:left="750" w:hanging="390"/>
      </w:pPr>
      <w:rPr>
        <w:rFonts w:ascii="Symbol" w:hAnsi="Symbol"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1550A80"/>
    <w:multiLevelType w:val="hybridMultilevel"/>
    <w:tmpl w:val="E410CA32"/>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138059DE"/>
    <w:multiLevelType w:val="hybridMultilevel"/>
    <w:tmpl w:val="FD8694F8"/>
    <w:lvl w:ilvl="0" w:tplc="90CA2FEC">
      <w:start w:val="1"/>
      <w:numFmt w:val="decimal"/>
      <w:lvlText w:val="%1."/>
      <w:lvlJc w:val="left"/>
      <w:pPr>
        <w:ind w:left="1353"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C57B33"/>
    <w:multiLevelType w:val="hybridMultilevel"/>
    <w:tmpl w:val="4758733C"/>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19A86B4B"/>
    <w:multiLevelType w:val="hybridMultilevel"/>
    <w:tmpl w:val="2DF8F40A"/>
    <w:lvl w:ilvl="0" w:tplc="A3E634A4">
      <w:start w:val="1"/>
      <w:numFmt w:val="upperLetter"/>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0" w15:restartNumberingAfterBreak="0">
    <w:nsid w:val="1B402AD4"/>
    <w:multiLevelType w:val="hybridMultilevel"/>
    <w:tmpl w:val="6872373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C342A3A"/>
    <w:multiLevelType w:val="hybridMultilevel"/>
    <w:tmpl w:val="6580384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1EA557B5"/>
    <w:multiLevelType w:val="hybridMultilevel"/>
    <w:tmpl w:val="0416293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62A6334"/>
    <w:multiLevelType w:val="hybridMultilevel"/>
    <w:tmpl w:val="27BA6C4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A73611"/>
    <w:multiLevelType w:val="hybridMultilevel"/>
    <w:tmpl w:val="A8F09AFA"/>
    <w:lvl w:ilvl="0" w:tplc="0424000F">
      <w:start w:val="17"/>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2EA41689"/>
    <w:multiLevelType w:val="hybridMultilevel"/>
    <w:tmpl w:val="DD42BC94"/>
    <w:lvl w:ilvl="0" w:tplc="8D903154">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7" w15:restartNumberingAfterBreak="0">
    <w:nsid w:val="3584500D"/>
    <w:multiLevelType w:val="hybridMultilevel"/>
    <w:tmpl w:val="A5621FDC"/>
    <w:lvl w:ilvl="0" w:tplc="559C9D4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C217250"/>
    <w:multiLevelType w:val="hybridMultilevel"/>
    <w:tmpl w:val="7854C9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1046717"/>
    <w:multiLevelType w:val="hybridMultilevel"/>
    <w:tmpl w:val="3C16835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4105228F"/>
    <w:multiLevelType w:val="hybridMultilevel"/>
    <w:tmpl w:val="8A3CA52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D50064F"/>
    <w:multiLevelType w:val="hybridMultilevel"/>
    <w:tmpl w:val="CF22EC72"/>
    <w:lvl w:ilvl="0" w:tplc="0424000F">
      <w:start w:val="1"/>
      <w:numFmt w:val="decimal"/>
      <w:lvlText w:val="%1."/>
      <w:lvlJc w:val="left"/>
      <w:pPr>
        <w:ind w:left="360" w:hanging="360"/>
      </w:pPr>
    </w:lvl>
    <w:lvl w:ilvl="1" w:tplc="7C205932">
      <w:start w:val="1"/>
      <w:numFmt w:val="lowerLetter"/>
      <w:lvlText w:val="%2)"/>
      <w:lvlJc w:val="left"/>
      <w:pPr>
        <w:ind w:left="1080" w:hanging="360"/>
      </w:pPr>
      <w:rPr>
        <w:rFonts w:hint="default"/>
      </w:rPr>
    </w:lvl>
    <w:lvl w:ilvl="2" w:tplc="0424001B">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649028C4"/>
    <w:multiLevelType w:val="hybridMultilevel"/>
    <w:tmpl w:val="4758733C"/>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69814500"/>
    <w:multiLevelType w:val="hybridMultilevel"/>
    <w:tmpl w:val="B1708D0E"/>
    <w:lvl w:ilvl="0" w:tplc="9CF29482">
      <w:start w:val="1"/>
      <w:numFmt w:val="decimal"/>
      <w:lvlText w:val="%1."/>
      <w:lvlJc w:val="left"/>
      <w:pPr>
        <w:ind w:left="78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1DD0C4D"/>
    <w:multiLevelType w:val="hybridMultilevel"/>
    <w:tmpl w:val="46325456"/>
    <w:lvl w:ilvl="0" w:tplc="C310E5D6">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6" w15:restartNumberingAfterBreak="0">
    <w:nsid w:val="73BD6556"/>
    <w:multiLevelType w:val="multilevel"/>
    <w:tmpl w:val="8EEEE748"/>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64D4335"/>
    <w:multiLevelType w:val="hybridMultilevel"/>
    <w:tmpl w:val="FA9E1E2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77F13C55"/>
    <w:multiLevelType w:val="hybridMultilevel"/>
    <w:tmpl w:val="B0CAB40A"/>
    <w:lvl w:ilvl="0" w:tplc="04240001">
      <w:start w:val="1"/>
      <w:numFmt w:val="bullet"/>
      <w:lvlText w:val=""/>
      <w:lvlJc w:val="left"/>
      <w:pPr>
        <w:ind w:left="720" w:hanging="360"/>
      </w:pPr>
      <w:rPr>
        <w:rFonts w:ascii="Symbol" w:hAnsi="Symbol" w:hint="default"/>
      </w:rPr>
    </w:lvl>
    <w:lvl w:ilvl="1" w:tplc="7C205932">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B78078C"/>
    <w:multiLevelType w:val="hybridMultilevel"/>
    <w:tmpl w:val="58CE6A14"/>
    <w:lvl w:ilvl="0" w:tplc="0424000F">
      <w:start w:val="18"/>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0" w15:restartNumberingAfterBreak="0">
    <w:nsid w:val="7FC27F65"/>
    <w:multiLevelType w:val="hybridMultilevel"/>
    <w:tmpl w:val="9580DEA4"/>
    <w:lvl w:ilvl="0" w:tplc="B6045608">
      <w:start w:val="1"/>
      <w:numFmt w:val="decimal"/>
      <w:lvlText w:val="%1."/>
      <w:lvlJc w:val="left"/>
      <w:pPr>
        <w:ind w:left="720" w:hanging="360"/>
      </w:pPr>
      <w:rPr>
        <w:rFonts w:ascii="Arial" w:eastAsia="Calibri" w:hAnsi="Arial" w:cs="Arial"/>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4"/>
  </w:num>
  <w:num w:numId="2">
    <w:abstractNumId w:val="22"/>
  </w:num>
  <w:num w:numId="3">
    <w:abstractNumId w:val="28"/>
  </w:num>
  <w:num w:numId="4">
    <w:abstractNumId w:val="11"/>
  </w:num>
  <w:num w:numId="5">
    <w:abstractNumId w:val="3"/>
  </w:num>
  <w:num w:numId="6">
    <w:abstractNumId w:val="0"/>
  </w:num>
  <w:num w:numId="7">
    <w:abstractNumId w:val="15"/>
  </w:num>
  <w:num w:numId="8">
    <w:abstractNumId w:val="29"/>
  </w:num>
  <w:num w:numId="9">
    <w:abstractNumId w:val="18"/>
  </w:num>
  <w:num w:numId="10">
    <w:abstractNumId w:val="10"/>
  </w:num>
  <w:num w:numId="11">
    <w:abstractNumId w:val="4"/>
  </w:num>
  <w:num w:numId="12">
    <w:abstractNumId w:val="19"/>
  </w:num>
  <w:num w:numId="13">
    <w:abstractNumId w:val="6"/>
  </w:num>
  <w:num w:numId="14">
    <w:abstractNumId w:val="1"/>
  </w:num>
  <w:num w:numId="15">
    <w:abstractNumId w:val="24"/>
  </w:num>
  <w:num w:numId="16">
    <w:abstractNumId w:val="17"/>
  </w:num>
  <w:num w:numId="17">
    <w:abstractNumId w:val="2"/>
  </w:num>
  <w:num w:numId="18">
    <w:abstractNumId w:val="27"/>
  </w:num>
  <w:num w:numId="19">
    <w:abstractNumId w:val="26"/>
  </w:num>
  <w:num w:numId="20">
    <w:abstractNumId w:val="12"/>
  </w:num>
  <w:num w:numId="21">
    <w:abstractNumId w:val="5"/>
  </w:num>
  <w:num w:numId="22">
    <w:abstractNumId w:val="25"/>
  </w:num>
  <w:num w:numId="23">
    <w:abstractNumId w:val="20"/>
  </w:num>
  <w:num w:numId="24">
    <w:abstractNumId w:val="21"/>
  </w:num>
  <w:num w:numId="25">
    <w:abstractNumId w:val="7"/>
  </w:num>
  <w:num w:numId="26">
    <w:abstractNumId w:val="23"/>
  </w:num>
  <w:num w:numId="27">
    <w:abstractNumId w:val="16"/>
  </w:num>
  <w:num w:numId="28">
    <w:abstractNumId w:val="9"/>
  </w:num>
  <w:num w:numId="29">
    <w:abstractNumId w:val="8"/>
  </w:num>
  <w:num w:numId="30">
    <w:abstractNumId w:val="30"/>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5DF"/>
    <w:rsid w:val="00001218"/>
    <w:rsid w:val="00003C9F"/>
    <w:rsid w:val="00004EAD"/>
    <w:rsid w:val="00005413"/>
    <w:rsid w:val="00010466"/>
    <w:rsid w:val="00013B00"/>
    <w:rsid w:val="00015B5A"/>
    <w:rsid w:val="000239B7"/>
    <w:rsid w:val="000254AD"/>
    <w:rsid w:val="00036A6D"/>
    <w:rsid w:val="000412BC"/>
    <w:rsid w:val="00041EB9"/>
    <w:rsid w:val="00042D0E"/>
    <w:rsid w:val="00046CE2"/>
    <w:rsid w:val="0005065F"/>
    <w:rsid w:val="00056039"/>
    <w:rsid w:val="000576FB"/>
    <w:rsid w:val="00085DE3"/>
    <w:rsid w:val="00096243"/>
    <w:rsid w:val="00096765"/>
    <w:rsid w:val="00096BE4"/>
    <w:rsid w:val="000C23A5"/>
    <w:rsid w:val="000C4583"/>
    <w:rsid w:val="000D76C2"/>
    <w:rsid w:val="000E1875"/>
    <w:rsid w:val="000E41E1"/>
    <w:rsid w:val="000E7050"/>
    <w:rsid w:val="000F4574"/>
    <w:rsid w:val="001017CB"/>
    <w:rsid w:val="00101B68"/>
    <w:rsid w:val="0011436A"/>
    <w:rsid w:val="00114401"/>
    <w:rsid w:val="0012533E"/>
    <w:rsid w:val="00131153"/>
    <w:rsid w:val="001314C1"/>
    <w:rsid w:val="00131B74"/>
    <w:rsid w:val="001352C1"/>
    <w:rsid w:val="0013649C"/>
    <w:rsid w:val="0014021F"/>
    <w:rsid w:val="00166414"/>
    <w:rsid w:val="00170AB2"/>
    <w:rsid w:val="0017296F"/>
    <w:rsid w:val="00174BEB"/>
    <w:rsid w:val="00174BFE"/>
    <w:rsid w:val="0017791C"/>
    <w:rsid w:val="00183318"/>
    <w:rsid w:val="00183F71"/>
    <w:rsid w:val="001A192F"/>
    <w:rsid w:val="001A7BD0"/>
    <w:rsid w:val="001C3750"/>
    <w:rsid w:val="001D16E0"/>
    <w:rsid w:val="001D5773"/>
    <w:rsid w:val="001D694D"/>
    <w:rsid w:val="001E102E"/>
    <w:rsid w:val="001E17C1"/>
    <w:rsid w:val="001F6F0F"/>
    <w:rsid w:val="0020233B"/>
    <w:rsid w:val="00203EA8"/>
    <w:rsid w:val="0021272F"/>
    <w:rsid w:val="002232A5"/>
    <w:rsid w:val="00227FB0"/>
    <w:rsid w:val="00231CFA"/>
    <w:rsid w:val="00235E41"/>
    <w:rsid w:val="002375A0"/>
    <w:rsid w:val="002413BB"/>
    <w:rsid w:val="00241698"/>
    <w:rsid w:val="00251D3F"/>
    <w:rsid w:val="002618E0"/>
    <w:rsid w:val="002711AE"/>
    <w:rsid w:val="00273761"/>
    <w:rsid w:val="00273F3C"/>
    <w:rsid w:val="00277706"/>
    <w:rsid w:val="00283EE6"/>
    <w:rsid w:val="00285B81"/>
    <w:rsid w:val="002909BF"/>
    <w:rsid w:val="0029431F"/>
    <w:rsid w:val="002A0B4E"/>
    <w:rsid w:val="002A5242"/>
    <w:rsid w:val="002A6A46"/>
    <w:rsid w:val="002B28E0"/>
    <w:rsid w:val="002B3767"/>
    <w:rsid w:val="002C7CD8"/>
    <w:rsid w:val="002D0F8A"/>
    <w:rsid w:val="002D66A8"/>
    <w:rsid w:val="002D6A3C"/>
    <w:rsid w:val="002E1329"/>
    <w:rsid w:val="002E2FD3"/>
    <w:rsid w:val="002E6B63"/>
    <w:rsid w:val="002F0041"/>
    <w:rsid w:val="002F4F69"/>
    <w:rsid w:val="002F68A9"/>
    <w:rsid w:val="00301033"/>
    <w:rsid w:val="00307FA2"/>
    <w:rsid w:val="00315EE6"/>
    <w:rsid w:val="00325D8B"/>
    <w:rsid w:val="00326044"/>
    <w:rsid w:val="00326834"/>
    <w:rsid w:val="0035043A"/>
    <w:rsid w:val="003525EB"/>
    <w:rsid w:val="00360E14"/>
    <w:rsid w:val="00367250"/>
    <w:rsid w:val="00370866"/>
    <w:rsid w:val="0037231D"/>
    <w:rsid w:val="003915A0"/>
    <w:rsid w:val="003A313E"/>
    <w:rsid w:val="003A3D5C"/>
    <w:rsid w:val="003B36FC"/>
    <w:rsid w:val="003C0B6A"/>
    <w:rsid w:val="003C485B"/>
    <w:rsid w:val="003D1272"/>
    <w:rsid w:val="003D5ADD"/>
    <w:rsid w:val="003E4CFC"/>
    <w:rsid w:val="003E5C55"/>
    <w:rsid w:val="003F0DE7"/>
    <w:rsid w:val="003F4DE6"/>
    <w:rsid w:val="00406373"/>
    <w:rsid w:val="004106C8"/>
    <w:rsid w:val="00412B3B"/>
    <w:rsid w:val="0041766C"/>
    <w:rsid w:val="0043532D"/>
    <w:rsid w:val="00445049"/>
    <w:rsid w:val="004527D6"/>
    <w:rsid w:val="00455EB9"/>
    <w:rsid w:val="00456D1B"/>
    <w:rsid w:val="004720C5"/>
    <w:rsid w:val="0047643E"/>
    <w:rsid w:val="0047705A"/>
    <w:rsid w:val="004801D0"/>
    <w:rsid w:val="004A0508"/>
    <w:rsid w:val="004A5C72"/>
    <w:rsid w:val="004B065E"/>
    <w:rsid w:val="004B5095"/>
    <w:rsid w:val="004C24ED"/>
    <w:rsid w:val="004C6E1C"/>
    <w:rsid w:val="004D6B75"/>
    <w:rsid w:val="004F5337"/>
    <w:rsid w:val="004F7C1C"/>
    <w:rsid w:val="00501E60"/>
    <w:rsid w:val="0051745B"/>
    <w:rsid w:val="005255EB"/>
    <w:rsid w:val="005316C0"/>
    <w:rsid w:val="00537622"/>
    <w:rsid w:val="00551E83"/>
    <w:rsid w:val="005608A6"/>
    <w:rsid w:val="005724B4"/>
    <w:rsid w:val="005739FE"/>
    <w:rsid w:val="005753D9"/>
    <w:rsid w:val="0058399F"/>
    <w:rsid w:val="00584B10"/>
    <w:rsid w:val="005966A4"/>
    <w:rsid w:val="005A785E"/>
    <w:rsid w:val="005B253B"/>
    <w:rsid w:val="005B3910"/>
    <w:rsid w:val="005C2DC2"/>
    <w:rsid w:val="005C4C41"/>
    <w:rsid w:val="005C71B5"/>
    <w:rsid w:val="005C7E8F"/>
    <w:rsid w:val="005D16F4"/>
    <w:rsid w:val="005D71B1"/>
    <w:rsid w:val="005D7E01"/>
    <w:rsid w:val="005E5A13"/>
    <w:rsid w:val="005F1763"/>
    <w:rsid w:val="005F18A6"/>
    <w:rsid w:val="005F638A"/>
    <w:rsid w:val="005F751D"/>
    <w:rsid w:val="006011FA"/>
    <w:rsid w:val="00610EF3"/>
    <w:rsid w:val="006110C9"/>
    <w:rsid w:val="0061133D"/>
    <w:rsid w:val="00612663"/>
    <w:rsid w:val="006163B7"/>
    <w:rsid w:val="006315C1"/>
    <w:rsid w:val="0065152F"/>
    <w:rsid w:val="00657C07"/>
    <w:rsid w:val="00662D8F"/>
    <w:rsid w:val="0066332D"/>
    <w:rsid w:val="00670A28"/>
    <w:rsid w:val="00670D1D"/>
    <w:rsid w:val="00674BE5"/>
    <w:rsid w:val="006A3C13"/>
    <w:rsid w:val="006C1FA9"/>
    <w:rsid w:val="006D1619"/>
    <w:rsid w:val="006D349E"/>
    <w:rsid w:val="006D59F7"/>
    <w:rsid w:val="006E377F"/>
    <w:rsid w:val="006E6155"/>
    <w:rsid w:val="006F44F5"/>
    <w:rsid w:val="006F6769"/>
    <w:rsid w:val="006F758E"/>
    <w:rsid w:val="007023A3"/>
    <w:rsid w:val="007033C0"/>
    <w:rsid w:val="00706E2E"/>
    <w:rsid w:val="007345D8"/>
    <w:rsid w:val="00741DF3"/>
    <w:rsid w:val="00743912"/>
    <w:rsid w:val="00764F24"/>
    <w:rsid w:val="00767A5A"/>
    <w:rsid w:val="007756E8"/>
    <w:rsid w:val="00780396"/>
    <w:rsid w:val="00781A06"/>
    <w:rsid w:val="0078319E"/>
    <w:rsid w:val="00783525"/>
    <w:rsid w:val="00793BBC"/>
    <w:rsid w:val="007B0111"/>
    <w:rsid w:val="007C2BB5"/>
    <w:rsid w:val="007D302C"/>
    <w:rsid w:val="007D4174"/>
    <w:rsid w:val="007D6A2A"/>
    <w:rsid w:val="007E0866"/>
    <w:rsid w:val="007E31E3"/>
    <w:rsid w:val="007F3757"/>
    <w:rsid w:val="007F4AC2"/>
    <w:rsid w:val="00803912"/>
    <w:rsid w:val="008155E7"/>
    <w:rsid w:val="00824D1D"/>
    <w:rsid w:val="00833AC6"/>
    <w:rsid w:val="00833D5E"/>
    <w:rsid w:val="0084082F"/>
    <w:rsid w:val="00843739"/>
    <w:rsid w:val="00847017"/>
    <w:rsid w:val="00853DF7"/>
    <w:rsid w:val="00882006"/>
    <w:rsid w:val="00895CCB"/>
    <w:rsid w:val="00895F3B"/>
    <w:rsid w:val="008A757F"/>
    <w:rsid w:val="008B25C9"/>
    <w:rsid w:val="008C2AC2"/>
    <w:rsid w:val="008C678D"/>
    <w:rsid w:val="008D6DCE"/>
    <w:rsid w:val="008E64FA"/>
    <w:rsid w:val="008F3E2F"/>
    <w:rsid w:val="009133BC"/>
    <w:rsid w:val="00913CF8"/>
    <w:rsid w:val="00933473"/>
    <w:rsid w:val="00945B2B"/>
    <w:rsid w:val="00946104"/>
    <w:rsid w:val="009514DD"/>
    <w:rsid w:val="0095198A"/>
    <w:rsid w:val="00953938"/>
    <w:rsid w:val="009541B4"/>
    <w:rsid w:val="00956BAA"/>
    <w:rsid w:val="00965967"/>
    <w:rsid w:val="00965BB4"/>
    <w:rsid w:val="00986964"/>
    <w:rsid w:val="009A46DA"/>
    <w:rsid w:val="009B0FC7"/>
    <w:rsid w:val="009B2790"/>
    <w:rsid w:val="009B4B00"/>
    <w:rsid w:val="009B70DE"/>
    <w:rsid w:val="009B7404"/>
    <w:rsid w:val="009C29C7"/>
    <w:rsid w:val="009C5AA6"/>
    <w:rsid w:val="009C6284"/>
    <w:rsid w:val="009D132C"/>
    <w:rsid w:val="009D21DD"/>
    <w:rsid w:val="009D40B0"/>
    <w:rsid w:val="009D6C16"/>
    <w:rsid w:val="009D7A82"/>
    <w:rsid w:val="009E053F"/>
    <w:rsid w:val="009E2ED4"/>
    <w:rsid w:val="009E3E28"/>
    <w:rsid w:val="009F0952"/>
    <w:rsid w:val="009F27B3"/>
    <w:rsid w:val="009F385E"/>
    <w:rsid w:val="009F7784"/>
    <w:rsid w:val="00A04B00"/>
    <w:rsid w:val="00A061FF"/>
    <w:rsid w:val="00A1445A"/>
    <w:rsid w:val="00A21745"/>
    <w:rsid w:val="00A22650"/>
    <w:rsid w:val="00A23B4F"/>
    <w:rsid w:val="00A3063E"/>
    <w:rsid w:val="00A31BBC"/>
    <w:rsid w:val="00A33527"/>
    <w:rsid w:val="00A33BE0"/>
    <w:rsid w:val="00A346A8"/>
    <w:rsid w:val="00A515E0"/>
    <w:rsid w:val="00A57325"/>
    <w:rsid w:val="00A72E16"/>
    <w:rsid w:val="00A75802"/>
    <w:rsid w:val="00A83E62"/>
    <w:rsid w:val="00A92149"/>
    <w:rsid w:val="00AA26A6"/>
    <w:rsid w:val="00AA2F1C"/>
    <w:rsid w:val="00AB1522"/>
    <w:rsid w:val="00AB3346"/>
    <w:rsid w:val="00AB4674"/>
    <w:rsid w:val="00AC2AA3"/>
    <w:rsid w:val="00AC72E5"/>
    <w:rsid w:val="00AD3618"/>
    <w:rsid w:val="00AF0AD6"/>
    <w:rsid w:val="00AF4CD9"/>
    <w:rsid w:val="00AF7809"/>
    <w:rsid w:val="00B021F9"/>
    <w:rsid w:val="00B16F2C"/>
    <w:rsid w:val="00B20079"/>
    <w:rsid w:val="00B200E4"/>
    <w:rsid w:val="00B26132"/>
    <w:rsid w:val="00B2757C"/>
    <w:rsid w:val="00B32A8A"/>
    <w:rsid w:val="00B40D42"/>
    <w:rsid w:val="00B4256F"/>
    <w:rsid w:val="00B528B4"/>
    <w:rsid w:val="00B52BF2"/>
    <w:rsid w:val="00B5369B"/>
    <w:rsid w:val="00B538F5"/>
    <w:rsid w:val="00B53D54"/>
    <w:rsid w:val="00B661E3"/>
    <w:rsid w:val="00B753E1"/>
    <w:rsid w:val="00B86392"/>
    <w:rsid w:val="00B90102"/>
    <w:rsid w:val="00B9309E"/>
    <w:rsid w:val="00B930C3"/>
    <w:rsid w:val="00BA2C4A"/>
    <w:rsid w:val="00BB3939"/>
    <w:rsid w:val="00BC00ED"/>
    <w:rsid w:val="00BC2412"/>
    <w:rsid w:val="00BC29DD"/>
    <w:rsid w:val="00BD4AEF"/>
    <w:rsid w:val="00BE50C8"/>
    <w:rsid w:val="00BE655C"/>
    <w:rsid w:val="00BE6AEE"/>
    <w:rsid w:val="00BF3699"/>
    <w:rsid w:val="00BF48E9"/>
    <w:rsid w:val="00BF78A7"/>
    <w:rsid w:val="00C03C9F"/>
    <w:rsid w:val="00C052DE"/>
    <w:rsid w:val="00C0552D"/>
    <w:rsid w:val="00C06BC8"/>
    <w:rsid w:val="00C124CB"/>
    <w:rsid w:val="00C16A39"/>
    <w:rsid w:val="00C2689D"/>
    <w:rsid w:val="00C276BB"/>
    <w:rsid w:val="00C366F0"/>
    <w:rsid w:val="00C4227E"/>
    <w:rsid w:val="00C468BF"/>
    <w:rsid w:val="00C565DD"/>
    <w:rsid w:val="00C64A95"/>
    <w:rsid w:val="00C746D7"/>
    <w:rsid w:val="00C76D66"/>
    <w:rsid w:val="00C81211"/>
    <w:rsid w:val="00C82B34"/>
    <w:rsid w:val="00C9531D"/>
    <w:rsid w:val="00C97729"/>
    <w:rsid w:val="00CA6711"/>
    <w:rsid w:val="00CB008E"/>
    <w:rsid w:val="00CB0388"/>
    <w:rsid w:val="00CB0D95"/>
    <w:rsid w:val="00CD61B2"/>
    <w:rsid w:val="00CD652A"/>
    <w:rsid w:val="00CD7808"/>
    <w:rsid w:val="00CE7B27"/>
    <w:rsid w:val="00CF12FC"/>
    <w:rsid w:val="00D05C1E"/>
    <w:rsid w:val="00D06278"/>
    <w:rsid w:val="00D2343D"/>
    <w:rsid w:val="00D278D4"/>
    <w:rsid w:val="00D4345D"/>
    <w:rsid w:val="00D56FE8"/>
    <w:rsid w:val="00D579F3"/>
    <w:rsid w:val="00D62DDF"/>
    <w:rsid w:val="00D67CD7"/>
    <w:rsid w:val="00D707B4"/>
    <w:rsid w:val="00D7309B"/>
    <w:rsid w:val="00D77C8B"/>
    <w:rsid w:val="00D8275B"/>
    <w:rsid w:val="00D83E17"/>
    <w:rsid w:val="00D84490"/>
    <w:rsid w:val="00D87E0D"/>
    <w:rsid w:val="00D90D4C"/>
    <w:rsid w:val="00D92C6A"/>
    <w:rsid w:val="00DA0B86"/>
    <w:rsid w:val="00DB3E61"/>
    <w:rsid w:val="00DC0402"/>
    <w:rsid w:val="00DF116B"/>
    <w:rsid w:val="00DF3D50"/>
    <w:rsid w:val="00E029F3"/>
    <w:rsid w:val="00E02C2C"/>
    <w:rsid w:val="00E0340C"/>
    <w:rsid w:val="00E3300C"/>
    <w:rsid w:val="00E43C3D"/>
    <w:rsid w:val="00E550C0"/>
    <w:rsid w:val="00E61921"/>
    <w:rsid w:val="00E6720A"/>
    <w:rsid w:val="00E676C3"/>
    <w:rsid w:val="00E74752"/>
    <w:rsid w:val="00E749F2"/>
    <w:rsid w:val="00E87CF8"/>
    <w:rsid w:val="00E932C8"/>
    <w:rsid w:val="00E95B73"/>
    <w:rsid w:val="00E9600A"/>
    <w:rsid w:val="00EA0F82"/>
    <w:rsid w:val="00EA2AC5"/>
    <w:rsid w:val="00EA7B9C"/>
    <w:rsid w:val="00EB0DA9"/>
    <w:rsid w:val="00EE7F32"/>
    <w:rsid w:val="00EF0493"/>
    <w:rsid w:val="00EF1787"/>
    <w:rsid w:val="00EF18FD"/>
    <w:rsid w:val="00F0300D"/>
    <w:rsid w:val="00F0401D"/>
    <w:rsid w:val="00F069C4"/>
    <w:rsid w:val="00F13757"/>
    <w:rsid w:val="00F1607B"/>
    <w:rsid w:val="00F21B47"/>
    <w:rsid w:val="00F267C9"/>
    <w:rsid w:val="00F27435"/>
    <w:rsid w:val="00F27FEA"/>
    <w:rsid w:val="00F375BF"/>
    <w:rsid w:val="00F41606"/>
    <w:rsid w:val="00F42EA0"/>
    <w:rsid w:val="00F51F53"/>
    <w:rsid w:val="00F52A52"/>
    <w:rsid w:val="00F60526"/>
    <w:rsid w:val="00F62792"/>
    <w:rsid w:val="00F65355"/>
    <w:rsid w:val="00F70BB8"/>
    <w:rsid w:val="00F71C13"/>
    <w:rsid w:val="00F724BD"/>
    <w:rsid w:val="00F7522A"/>
    <w:rsid w:val="00F758D0"/>
    <w:rsid w:val="00F83649"/>
    <w:rsid w:val="00F925DF"/>
    <w:rsid w:val="00F92D1D"/>
    <w:rsid w:val="00F94B26"/>
    <w:rsid w:val="00FA1E8A"/>
    <w:rsid w:val="00FA340B"/>
    <w:rsid w:val="00FA493D"/>
    <w:rsid w:val="00FB174F"/>
    <w:rsid w:val="00FB4D34"/>
    <w:rsid w:val="00FC2645"/>
    <w:rsid w:val="00FC4EB7"/>
    <w:rsid w:val="00FC6CF0"/>
    <w:rsid w:val="00FD2793"/>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3C283915"/>
  <w15:docId w15:val="{09D5E9C7-85E8-455F-98AF-9DFD7F7C9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F925DF"/>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rPr>
      <w:rFonts w:ascii="Times New Roman" w:hAnsi="Times New Roman"/>
      <w:sz w:val="24"/>
      <w:szCs w:val="24"/>
    </w:rPr>
  </w:style>
  <w:style w:type="paragraph" w:styleId="Noga">
    <w:name w:val="footer"/>
    <w:basedOn w:val="Navaden"/>
    <w:rsid w:val="004801D0"/>
    <w:pPr>
      <w:tabs>
        <w:tab w:val="center" w:pos="4536"/>
        <w:tab w:val="right" w:pos="9072"/>
      </w:tabs>
    </w:pPr>
    <w:rPr>
      <w:rFonts w:ascii="Times New Roman" w:hAnsi="Times New Roman"/>
      <w:sz w:val="24"/>
      <w:szCs w:val="24"/>
    </w:r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link w:val="OdstavekseznamaZnak"/>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F925DF"/>
    <w:pPr>
      <w:spacing w:after="120"/>
    </w:pPr>
  </w:style>
  <w:style w:type="character" w:customStyle="1" w:styleId="TelobesedilaZnak">
    <w:name w:val="Telo besedila Znak"/>
    <w:basedOn w:val="Privzetapisavaodstavka"/>
    <w:link w:val="Telobesedila"/>
    <w:rsid w:val="00F925DF"/>
    <w:rPr>
      <w:rFonts w:ascii="Arial" w:hAnsi="Arial"/>
      <w:sz w:val="22"/>
      <w:szCs w:val="22"/>
    </w:rPr>
  </w:style>
  <w:style w:type="paragraph" w:customStyle="1" w:styleId="a">
    <w:basedOn w:val="Navaden"/>
    <w:next w:val="Pripombabesedilo"/>
    <w:link w:val="Komentar-besediloZnak"/>
    <w:rsid w:val="00AF7809"/>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AF7809"/>
    <w:rPr>
      <w:i/>
      <w:color w:val="000000"/>
    </w:rPr>
  </w:style>
  <w:style w:type="paragraph" w:styleId="Pripombabesedilo">
    <w:name w:val="annotation text"/>
    <w:basedOn w:val="Navaden"/>
    <w:link w:val="PripombabesediloZnak"/>
    <w:rsid w:val="00AF7809"/>
    <w:rPr>
      <w:sz w:val="20"/>
      <w:szCs w:val="20"/>
    </w:rPr>
  </w:style>
  <w:style w:type="character" w:customStyle="1" w:styleId="PripombabesediloZnak">
    <w:name w:val="Pripomba – besedilo Znak"/>
    <w:basedOn w:val="Privzetapisavaodstavka"/>
    <w:link w:val="Pripombabesedilo"/>
    <w:rsid w:val="00AF7809"/>
    <w:rPr>
      <w:rFonts w:ascii="Arial" w:hAnsi="Arial"/>
    </w:rPr>
  </w:style>
  <w:style w:type="character" w:customStyle="1" w:styleId="Naslov1Znak">
    <w:name w:val="Naslov 1 Znak"/>
    <w:link w:val="Naslov1"/>
    <w:rsid w:val="00CB0388"/>
    <w:rPr>
      <w:rFonts w:ascii="Arial" w:hAnsi="Arial"/>
      <w:b/>
      <w:bCs/>
      <w:kern w:val="32"/>
      <w:sz w:val="32"/>
      <w:szCs w:val="32"/>
    </w:rPr>
  </w:style>
  <w:style w:type="paragraph" w:customStyle="1" w:styleId="alineazaodstavkom1">
    <w:name w:val="alineazaodstavkom1"/>
    <w:basedOn w:val="Navaden"/>
    <w:rsid w:val="00085DE3"/>
    <w:pPr>
      <w:ind w:left="425" w:hanging="425"/>
      <w:jc w:val="both"/>
    </w:pPr>
    <w:rPr>
      <w:rFonts w:cs="Arial"/>
    </w:rPr>
  </w:style>
  <w:style w:type="paragraph" w:customStyle="1" w:styleId="a0">
    <w:basedOn w:val="Navaden"/>
    <w:next w:val="Pripombabesedilo"/>
    <w:rsid w:val="00F1607B"/>
    <w:pPr>
      <w:widowControl w:val="0"/>
      <w:jc w:val="both"/>
    </w:pPr>
    <w:rPr>
      <w:rFonts w:ascii="Times New Roman" w:hAnsi="Times New Roman"/>
      <w:i/>
      <w:color w:val="000000"/>
      <w:sz w:val="20"/>
      <w:szCs w:val="20"/>
    </w:rPr>
  </w:style>
  <w:style w:type="paragraph" w:styleId="Telobesedila2">
    <w:name w:val="Body Text 2"/>
    <w:basedOn w:val="Navaden"/>
    <w:link w:val="Telobesedila2Znak"/>
    <w:semiHidden/>
    <w:unhideWhenUsed/>
    <w:rsid w:val="00933473"/>
    <w:pPr>
      <w:spacing w:after="120" w:line="480" w:lineRule="auto"/>
    </w:pPr>
  </w:style>
  <w:style w:type="character" w:customStyle="1" w:styleId="Telobesedila2Znak">
    <w:name w:val="Telo besedila 2 Znak"/>
    <w:basedOn w:val="Privzetapisavaodstavka"/>
    <w:link w:val="Telobesedila2"/>
    <w:semiHidden/>
    <w:rsid w:val="00933473"/>
    <w:rPr>
      <w:rFonts w:ascii="Arial" w:hAnsi="Arial"/>
      <w:sz w:val="22"/>
      <w:szCs w:val="22"/>
    </w:rPr>
  </w:style>
  <w:style w:type="character" w:styleId="SledenaHiperpovezava">
    <w:name w:val="FollowedHyperlink"/>
    <w:basedOn w:val="Privzetapisavaodstavka"/>
    <w:semiHidden/>
    <w:unhideWhenUsed/>
    <w:rsid w:val="008C678D"/>
    <w:rPr>
      <w:color w:val="954F72" w:themeColor="followedHyperlink"/>
      <w:u w:val="single"/>
    </w:rPr>
  </w:style>
  <w:style w:type="character" w:customStyle="1" w:styleId="OdstavekseznamaZnak">
    <w:name w:val="Odstavek seznama Znak"/>
    <w:link w:val="Odstavekseznama"/>
    <w:uiPriority w:val="34"/>
    <w:rsid w:val="00A23B4F"/>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43345">
      <w:bodyDiv w:val="1"/>
      <w:marLeft w:val="0"/>
      <w:marRight w:val="0"/>
      <w:marTop w:val="0"/>
      <w:marBottom w:val="0"/>
      <w:divBdr>
        <w:top w:val="none" w:sz="0" w:space="0" w:color="auto"/>
        <w:left w:val="none" w:sz="0" w:space="0" w:color="auto"/>
        <w:bottom w:val="none" w:sz="0" w:space="0" w:color="auto"/>
        <w:right w:val="none" w:sz="0" w:space="0" w:color="auto"/>
      </w:divBdr>
    </w:div>
    <w:div w:id="197596011">
      <w:bodyDiv w:val="1"/>
      <w:marLeft w:val="0"/>
      <w:marRight w:val="0"/>
      <w:marTop w:val="0"/>
      <w:marBottom w:val="0"/>
      <w:divBdr>
        <w:top w:val="none" w:sz="0" w:space="0" w:color="auto"/>
        <w:left w:val="none" w:sz="0" w:space="0" w:color="auto"/>
        <w:bottom w:val="none" w:sz="0" w:space="0" w:color="auto"/>
        <w:right w:val="none" w:sz="0" w:space="0" w:color="auto"/>
      </w:divBdr>
    </w:div>
    <w:div w:id="208151282">
      <w:bodyDiv w:val="1"/>
      <w:marLeft w:val="0"/>
      <w:marRight w:val="0"/>
      <w:marTop w:val="0"/>
      <w:marBottom w:val="0"/>
      <w:divBdr>
        <w:top w:val="none" w:sz="0" w:space="0" w:color="auto"/>
        <w:left w:val="none" w:sz="0" w:space="0" w:color="auto"/>
        <w:bottom w:val="none" w:sz="0" w:space="0" w:color="auto"/>
        <w:right w:val="none" w:sz="0" w:space="0" w:color="auto"/>
      </w:divBdr>
    </w:div>
    <w:div w:id="445656887">
      <w:bodyDiv w:val="1"/>
      <w:marLeft w:val="0"/>
      <w:marRight w:val="0"/>
      <w:marTop w:val="0"/>
      <w:marBottom w:val="0"/>
      <w:divBdr>
        <w:top w:val="none" w:sz="0" w:space="0" w:color="auto"/>
        <w:left w:val="none" w:sz="0" w:space="0" w:color="auto"/>
        <w:bottom w:val="none" w:sz="0" w:space="0" w:color="auto"/>
        <w:right w:val="none" w:sz="0" w:space="0" w:color="auto"/>
      </w:divBdr>
    </w:div>
    <w:div w:id="505945417">
      <w:bodyDiv w:val="1"/>
      <w:marLeft w:val="0"/>
      <w:marRight w:val="0"/>
      <w:marTop w:val="0"/>
      <w:marBottom w:val="0"/>
      <w:divBdr>
        <w:top w:val="none" w:sz="0" w:space="0" w:color="auto"/>
        <w:left w:val="none" w:sz="0" w:space="0" w:color="auto"/>
        <w:bottom w:val="none" w:sz="0" w:space="0" w:color="auto"/>
        <w:right w:val="none" w:sz="0" w:space="0" w:color="auto"/>
      </w:divBdr>
    </w:div>
    <w:div w:id="564612184">
      <w:bodyDiv w:val="1"/>
      <w:marLeft w:val="0"/>
      <w:marRight w:val="0"/>
      <w:marTop w:val="0"/>
      <w:marBottom w:val="0"/>
      <w:divBdr>
        <w:top w:val="none" w:sz="0" w:space="0" w:color="auto"/>
        <w:left w:val="none" w:sz="0" w:space="0" w:color="auto"/>
        <w:bottom w:val="none" w:sz="0" w:space="0" w:color="auto"/>
        <w:right w:val="none" w:sz="0" w:space="0" w:color="auto"/>
      </w:divBdr>
      <w:divsChild>
        <w:div w:id="692461027">
          <w:marLeft w:val="0"/>
          <w:marRight w:val="0"/>
          <w:marTop w:val="0"/>
          <w:marBottom w:val="0"/>
          <w:divBdr>
            <w:top w:val="none" w:sz="0" w:space="0" w:color="auto"/>
            <w:left w:val="none" w:sz="0" w:space="0" w:color="auto"/>
            <w:bottom w:val="none" w:sz="0" w:space="0" w:color="auto"/>
            <w:right w:val="none" w:sz="0" w:space="0" w:color="auto"/>
          </w:divBdr>
          <w:divsChild>
            <w:div w:id="1273784141">
              <w:marLeft w:val="0"/>
              <w:marRight w:val="0"/>
              <w:marTop w:val="100"/>
              <w:marBottom w:val="100"/>
              <w:divBdr>
                <w:top w:val="none" w:sz="0" w:space="0" w:color="auto"/>
                <w:left w:val="none" w:sz="0" w:space="0" w:color="auto"/>
                <w:bottom w:val="none" w:sz="0" w:space="0" w:color="auto"/>
                <w:right w:val="none" w:sz="0" w:space="0" w:color="auto"/>
              </w:divBdr>
              <w:divsChild>
                <w:div w:id="33119350">
                  <w:marLeft w:val="0"/>
                  <w:marRight w:val="0"/>
                  <w:marTop w:val="0"/>
                  <w:marBottom w:val="0"/>
                  <w:divBdr>
                    <w:top w:val="none" w:sz="0" w:space="0" w:color="auto"/>
                    <w:left w:val="none" w:sz="0" w:space="0" w:color="auto"/>
                    <w:bottom w:val="none" w:sz="0" w:space="0" w:color="auto"/>
                    <w:right w:val="none" w:sz="0" w:space="0" w:color="auto"/>
                  </w:divBdr>
                  <w:divsChild>
                    <w:div w:id="159122719">
                      <w:marLeft w:val="0"/>
                      <w:marRight w:val="0"/>
                      <w:marTop w:val="0"/>
                      <w:marBottom w:val="0"/>
                      <w:divBdr>
                        <w:top w:val="none" w:sz="0" w:space="0" w:color="auto"/>
                        <w:left w:val="none" w:sz="0" w:space="0" w:color="auto"/>
                        <w:bottom w:val="none" w:sz="0" w:space="0" w:color="auto"/>
                        <w:right w:val="none" w:sz="0" w:space="0" w:color="auto"/>
                      </w:divBdr>
                      <w:divsChild>
                        <w:div w:id="987711627">
                          <w:marLeft w:val="0"/>
                          <w:marRight w:val="0"/>
                          <w:marTop w:val="0"/>
                          <w:marBottom w:val="0"/>
                          <w:divBdr>
                            <w:top w:val="none" w:sz="0" w:space="0" w:color="auto"/>
                            <w:left w:val="none" w:sz="0" w:space="0" w:color="auto"/>
                            <w:bottom w:val="none" w:sz="0" w:space="0" w:color="auto"/>
                            <w:right w:val="none" w:sz="0" w:space="0" w:color="auto"/>
                          </w:divBdr>
                          <w:divsChild>
                            <w:div w:id="2126347241">
                              <w:marLeft w:val="0"/>
                              <w:marRight w:val="0"/>
                              <w:marTop w:val="0"/>
                              <w:marBottom w:val="0"/>
                              <w:divBdr>
                                <w:top w:val="none" w:sz="0" w:space="0" w:color="auto"/>
                                <w:left w:val="none" w:sz="0" w:space="0" w:color="auto"/>
                                <w:bottom w:val="none" w:sz="0" w:space="0" w:color="auto"/>
                                <w:right w:val="none" w:sz="0" w:space="0" w:color="auto"/>
                              </w:divBdr>
                              <w:divsChild>
                                <w:div w:id="383257881">
                                  <w:marLeft w:val="0"/>
                                  <w:marRight w:val="0"/>
                                  <w:marTop w:val="0"/>
                                  <w:marBottom w:val="0"/>
                                  <w:divBdr>
                                    <w:top w:val="none" w:sz="0" w:space="0" w:color="auto"/>
                                    <w:left w:val="none" w:sz="0" w:space="0" w:color="auto"/>
                                    <w:bottom w:val="none" w:sz="0" w:space="0" w:color="auto"/>
                                    <w:right w:val="none" w:sz="0" w:space="0" w:color="auto"/>
                                  </w:divBdr>
                                  <w:divsChild>
                                    <w:div w:id="532118017">
                                      <w:marLeft w:val="0"/>
                                      <w:marRight w:val="0"/>
                                      <w:marTop w:val="0"/>
                                      <w:marBottom w:val="0"/>
                                      <w:divBdr>
                                        <w:top w:val="none" w:sz="0" w:space="0" w:color="auto"/>
                                        <w:left w:val="none" w:sz="0" w:space="0" w:color="auto"/>
                                        <w:bottom w:val="none" w:sz="0" w:space="0" w:color="auto"/>
                                        <w:right w:val="none" w:sz="0" w:space="0" w:color="auto"/>
                                      </w:divBdr>
                                      <w:divsChild>
                                        <w:div w:id="170355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8563549">
      <w:bodyDiv w:val="1"/>
      <w:marLeft w:val="0"/>
      <w:marRight w:val="0"/>
      <w:marTop w:val="0"/>
      <w:marBottom w:val="0"/>
      <w:divBdr>
        <w:top w:val="none" w:sz="0" w:space="0" w:color="auto"/>
        <w:left w:val="none" w:sz="0" w:space="0" w:color="auto"/>
        <w:bottom w:val="none" w:sz="0" w:space="0" w:color="auto"/>
        <w:right w:val="none" w:sz="0" w:space="0" w:color="auto"/>
      </w:divBdr>
    </w:div>
    <w:div w:id="633751114">
      <w:bodyDiv w:val="1"/>
      <w:marLeft w:val="0"/>
      <w:marRight w:val="0"/>
      <w:marTop w:val="0"/>
      <w:marBottom w:val="0"/>
      <w:divBdr>
        <w:top w:val="none" w:sz="0" w:space="0" w:color="auto"/>
        <w:left w:val="none" w:sz="0" w:space="0" w:color="auto"/>
        <w:bottom w:val="none" w:sz="0" w:space="0" w:color="auto"/>
        <w:right w:val="none" w:sz="0" w:space="0" w:color="auto"/>
      </w:divBdr>
    </w:div>
    <w:div w:id="1204751039">
      <w:bodyDiv w:val="1"/>
      <w:marLeft w:val="0"/>
      <w:marRight w:val="0"/>
      <w:marTop w:val="0"/>
      <w:marBottom w:val="0"/>
      <w:divBdr>
        <w:top w:val="none" w:sz="0" w:space="0" w:color="auto"/>
        <w:left w:val="none" w:sz="0" w:space="0" w:color="auto"/>
        <w:bottom w:val="none" w:sz="0" w:space="0" w:color="auto"/>
        <w:right w:val="none" w:sz="0" w:space="0" w:color="auto"/>
      </w:divBdr>
    </w:div>
    <w:div w:id="1350595702">
      <w:bodyDiv w:val="1"/>
      <w:marLeft w:val="0"/>
      <w:marRight w:val="0"/>
      <w:marTop w:val="0"/>
      <w:marBottom w:val="0"/>
      <w:divBdr>
        <w:top w:val="none" w:sz="0" w:space="0" w:color="auto"/>
        <w:left w:val="none" w:sz="0" w:space="0" w:color="auto"/>
        <w:bottom w:val="none" w:sz="0" w:space="0" w:color="auto"/>
        <w:right w:val="none" w:sz="0" w:space="0" w:color="auto"/>
      </w:divBdr>
    </w:div>
    <w:div w:id="1583563386">
      <w:bodyDiv w:val="1"/>
      <w:marLeft w:val="0"/>
      <w:marRight w:val="0"/>
      <w:marTop w:val="0"/>
      <w:marBottom w:val="0"/>
      <w:divBdr>
        <w:top w:val="none" w:sz="0" w:space="0" w:color="auto"/>
        <w:left w:val="none" w:sz="0" w:space="0" w:color="auto"/>
        <w:bottom w:val="none" w:sz="0" w:space="0" w:color="auto"/>
        <w:right w:val="none" w:sz="0" w:space="0" w:color="auto"/>
      </w:divBdr>
    </w:div>
    <w:div w:id="2037538890">
      <w:bodyDiv w:val="1"/>
      <w:marLeft w:val="0"/>
      <w:marRight w:val="0"/>
      <w:marTop w:val="0"/>
      <w:marBottom w:val="0"/>
      <w:divBdr>
        <w:top w:val="none" w:sz="0" w:space="0" w:color="auto"/>
        <w:left w:val="none" w:sz="0" w:space="0" w:color="auto"/>
        <w:bottom w:val="none" w:sz="0" w:space="0" w:color="auto"/>
        <w:right w:val="none" w:sz="0" w:space="0" w:color="auto"/>
      </w:divBdr>
    </w:div>
    <w:div w:id="2141610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ESP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D91B3E4-09D1-4544-B7C1-11C7EA775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1</TotalTime>
  <Pages>6</Pages>
  <Words>2312</Words>
  <Characters>13992</Characters>
  <Application>Microsoft Office Word</Application>
  <DocSecurity>0</DocSecurity>
  <Lines>116</Lines>
  <Paragraphs>32</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16272</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Boštjan KLOFUTAR</cp:lastModifiedBy>
  <cp:revision>2</cp:revision>
  <cp:lastPrinted>2018-06-19T07:08:00Z</cp:lastPrinted>
  <dcterms:created xsi:type="dcterms:W3CDTF">2020-09-08T12:36:00Z</dcterms:created>
  <dcterms:modified xsi:type="dcterms:W3CDTF">2020-09-08T12:36:00Z</dcterms:modified>
</cp:coreProperties>
</file>