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D66BF" w14:textId="77777777" w:rsidR="00AD7E88" w:rsidRPr="00AD7E88" w:rsidRDefault="00AD7E88" w:rsidP="00AD7E88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634B6EDF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RAZPISNA DOKUMENTACIJA</w:t>
      </w:r>
    </w:p>
    <w:p w14:paraId="5FE957C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15D91CF3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45385DD5" w14:textId="2425A56A" w:rsidR="00AD7E88" w:rsidRDefault="003614E2" w:rsidP="00AD7E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 oddajo javnega naročila male vrednosti </w:t>
      </w:r>
      <w:r w:rsidR="00AD7E88" w:rsidRPr="00AD7E88">
        <w:rPr>
          <w:rFonts w:ascii="Arial" w:hAnsi="Arial" w:cs="Arial"/>
          <w:b/>
          <w:bCs/>
        </w:rPr>
        <w:t xml:space="preserve">za </w:t>
      </w:r>
    </w:p>
    <w:p w14:paraId="1EBEDBD5" w14:textId="5286212E" w:rsidR="00747E8D" w:rsidRDefault="00747E8D" w:rsidP="00AD7E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prodajo, nabavo, skladišče</w:t>
      </w:r>
      <w:r w:rsidR="003614E2">
        <w:rPr>
          <w:rFonts w:ascii="Arial" w:hAnsi="Arial" w:cs="Arial"/>
          <w:b/>
          <w:bCs/>
        </w:rPr>
        <w:t>nje</w:t>
      </w:r>
      <w:r>
        <w:rPr>
          <w:rFonts w:ascii="Arial" w:hAnsi="Arial" w:cs="Arial"/>
          <w:b/>
          <w:bCs/>
        </w:rPr>
        <w:t xml:space="preserve"> in obnavljanje </w:t>
      </w:r>
    </w:p>
    <w:p w14:paraId="05C19212" w14:textId="0B416A43" w:rsidR="00747E8D" w:rsidRPr="00AD7E88" w:rsidRDefault="00747E8D" w:rsidP="00AD7E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44.580 litrov motornega olja</w:t>
      </w:r>
    </w:p>
    <w:p w14:paraId="1E74A021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35DE03AF" w14:textId="77777777" w:rsidR="00AD7E88" w:rsidRPr="00AD7E88" w:rsidRDefault="00AD7E88" w:rsidP="00AD7E88">
      <w:pPr>
        <w:jc w:val="both"/>
        <w:rPr>
          <w:rFonts w:ascii="Arial" w:hAnsi="Arial" w:cs="Arial"/>
          <w:lang w:val="it-IT"/>
        </w:rPr>
      </w:pPr>
    </w:p>
    <w:p w14:paraId="7C51E0D2" w14:textId="36219B8A" w:rsidR="00AD7E88" w:rsidRPr="003614E2" w:rsidRDefault="00AD7E88" w:rsidP="003614E2">
      <w:pPr>
        <w:pStyle w:val="Telobesedila2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>Razpisna dokumentacija je pripravljena v skladu z:</w:t>
      </w:r>
      <w:bookmarkStart w:id="0" w:name="_GoBack"/>
      <w:bookmarkEnd w:id="0"/>
    </w:p>
    <w:p w14:paraId="6C2AD6B1" w14:textId="77777777" w:rsidR="00AD7E88" w:rsidRPr="00AD7E88" w:rsidRDefault="00AD7E88" w:rsidP="00AD7E88">
      <w:pPr>
        <w:pStyle w:val="Telobesedila2"/>
        <w:numPr>
          <w:ilvl w:val="0"/>
          <w:numId w:val="24"/>
        </w:numPr>
        <w:spacing w:after="0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 xml:space="preserve">Zakonom o javnem naročanju </w:t>
      </w:r>
    </w:p>
    <w:p w14:paraId="427B2EA0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pravnem varstvu v postopkih javnega naročanja </w:t>
      </w:r>
    </w:p>
    <w:p w14:paraId="0AB88060" w14:textId="77777777" w:rsidR="00AD7E88" w:rsidRPr="00AD7E88" w:rsidRDefault="00AD7E88" w:rsidP="00AD7E88">
      <w:pPr>
        <w:ind w:left="360"/>
        <w:jc w:val="both"/>
        <w:rPr>
          <w:rFonts w:ascii="Arial" w:hAnsi="Arial" w:cs="Arial"/>
        </w:rPr>
      </w:pPr>
    </w:p>
    <w:p w14:paraId="6321AAF4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blagovnih rezervah </w:t>
      </w:r>
    </w:p>
    <w:p w14:paraId="1DA848CE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5BFDCB78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javnih financah </w:t>
      </w:r>
    </w:p>
    <w:p w14:paraId="3273A31F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19459EA7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>drugo veljavno zakonodajo na področju javnega naročanja.</w:t>
      </w:r>
    </w:p>
    <w:p w14:paraId="1EE41D99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30504183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C962C5" w14:textId="2E9D0BC4" w:rsidR="00EE6ED9" w:rsidRPr="00AD7E88" w:rsidRDefault="00EE6ED9" w:rsidP="00AD7E88">
      <w:pPr>
        <w:rPr>
          <w:rFonts w:ascii="Arial" w:hAnsi="Arial" w:cs="Arial"/>
        </w:rPr>
      </w:pPr>
    </w:p>
    <w:sectPr w:rsidR="00EE6ED9" w:rsidRPr="00AD7E8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E4B74FB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614E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614E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3614E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3614E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14E2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47E8D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743C2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301B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E8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2B84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DF6A6A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AD7E88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AD7E8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ef81378-7155-4c2c-9941-e6fa858b39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F8B2BA-2599-4B14-BC77-E927B1ED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404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2020-01-29T12:00:00Z</dcterms:created>
  <dcterms:modified xsi:type="dcterms:W3CDTF">2021-04-21T07:09:00Z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